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stilopredeterminado"/>
        <w:bidi w:val="0"/>
        <w:spacing w:lineRule="auto" w:line="276" w:before="0" w:after="240"/>
        <w:jc w:val="center"/>
        <w:rPr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>CONVENIO MARCO DE COOPERACIÓN ENTRE LA BIBLIOTECA DEL PODER JUDICIAL DE ENTRE RÍOS Y LA UNIVERSIDAD CATOLICA ARGENTINA FACULTAD “TERESA DE ÁVILA”</w:t>
      </w:r>
    </w:p>
    <w:p>
      <w:pPr>
        <w:pStyle w:val="Estilopredeterminado"/>
        <w:bidi w:val="0"/>
        <w:spacing w:lineRule="auto" w:line="276" w:before="0" w:after="240"/>
        <w:jc w:val="both"/>
        <w:rPr>
          <w:sz w:val="22"/>
          <w:szCs w:val="22"/>
        </w:rPr>
      </w:pPr>
      <w:r>
        <w:rPr>
          <w:rFonts w:cs="Arial" w:ascii="Garamond" w:hAnsi="Garamond"/>
          <w:bCs/>
          <w:sz w:val="22"/>
          <w:szCs w:val="22"/>
        </w:rPr>
        <w:t xml:space="preserve">En la Ciudad de Paraná entre, por una parte, la </w:t>
      </w:r>
      <w:r>
        <w:rPr>
          <w:rFonts w:cs="Arial" w:ascii="Garamond" w:hAnsi="Garamond"/>
          <w:b/>
          <w:sz w:val="22"/>
          <w:szCs w:val="22"/>
        </w:rPr>
        <w:t>BIBLIOTECA DEL PODER JUDICIAL DE ENTRE RÍOS</w:t>
      </w:r>
      <w:r>
        <w:rPr>
          <w:rFonts w:cs="Arial" w:ascii="Garamond" w:hAnsi="Garamond"/>
          <w:bCs/>
          <w:sz w:val="22"/>
          <w:szCs w:val="22"/>
        </w:rPr>
        <w:t xml:space="preserve"> (en adelante, la “Biblioteca”), representada en este acto por la Sra. Presidenta del Superior Tribunal de Justicia de Entre Ríos, </w:t>
      </w:r>
      <w:r>
        <w:rPr>
          <w:rFonts w:cs="Arial" w:ascii="Garamond" w:hAnsi="Garamond"/>
          <w:b/>
          <w:sz w:val="22"/>
          <w:szCs w:val="22"/>
        </w:rPr>
        <w:t>Dra. Susana Medina</w:t>
      </w:r>
      <w:r>
        <w:rPr>
          <w:rFonts w:cs="Arial" w:ascii="Garamond" w:hAnsi="Garamond"/>
          <w:bCs/>
          <w:sz w:val="22"/>
          <w:szCs w:val="22"/>
        </w:rPr>
        <w:t xml:space="preserve">, con domicilio legal en Laprida 251 de esta Ciudad y, por la otra parte, la </w:t>
      </w:r>
      <w:r>
        <w:rPr>
          <w:rFonts w:cs="Arial" w:ascii="Garamond" w:hAnsi="Garamond"/>
          <w:b/>
          <w:bCs/>
          <w:sz w:val="22"/>
          <w:szCs w:val="22"/>
        </w:rPr>
        <w:t xml:space="preserve">FUNDACIÓN PONTIFICIA UNIVERSIDAD CATOLICA ARGENTINA FACULTAD “TERESA DE ÁVILA” </w:t>
      </w:r>
      <w:r>
        <w:rPr>
          <w:rFonts w:cs="Arial" w:ascii="Garamond" w:hAnsi="Garamond"/>
          <w:bCs/>
          <w:sz w:val="22"/>
          <w:szCs w:val="22"/>
        </w:rPr>
        <w:t xml:space="preserve">(en adelante, la “UCA”), representada en este acto por </w:t>
      </w:r>
      <w:r>
        <w:rPr>
          <w:rFonts w:cs="Arial" w:ascii="Garamond" w:hAnsi="Garamond"/>
          <w:b/>
          <w:sz w:val="22"/>
          <w:szCs w:val="22"/>
        </w:rPr>
        <w:t>su Decano, Mgter. Marcelo Adrián Agolti</w:t>
      </w:r>
      <w:r>
        <w:rPr>
          <w:rFonts w:cs="Arial" w:ascii="Garamond" w:hAnsi="Garamond"/>
          <w:bCs/>
          <w:sz w:val="22"/>
          <w:szCs w:val="22"/>
        </w:rPr>
        <w:t xml:space="preserve">, con domicilio legal en Buenos Aires 239 de esta Ciudad, y ambas denominadas conjuntamente las “PARTES”, acuerdan celebrar el presente </w:t>
      </w:r>
      <w:r>
        <w:rPr>
          <w:rFonts w:cs="Arial" w:ascii="Garamond" w:hAnsi="Garamond"/>
          <w:b/>
          <w:bCs/>
          <w:sz w:val="22"/>
          <w:szCs w:val="22"/>
        </w:rPr>
        <w:t xml:space="preserve">CONVENIO MARCO DE COLABORACIÓN </w:t>
      </w:r>
      <w:r>
        <w:rPr>
          <w:rFonts w:cs="Arial" w:ascii="Garamond" w:hAnsi="Garamond"/>
          <w:bCs/>
          <w:sz w:val="22"/>
          <w:szCs w:val="22"/>
        </w:rPr>
        <w:t xml:space="preserve">con sujeción a las siguientes modalidades y condiciones: </w:t>
      </w:r>
    </w:p>
    <w:p>
      <w:pPr>
        <w:pStyle w:val="Estilopredeterminado"/>
        <w:widowControl w:val="false"/>
        <w:bidi w:val="0"/>
        <w:spacing w:lineRule="auto" w:line="276" w:before="240" w:after="0"/>
        <w:jc w:val="both"/>
        <w:rPr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 xml:space="preserve">PRIMERO. OBJETO. </w:t>
      </w:r>
      <w:r>
        <w:rPr>
          <w:rFonts w:cs="Arial" w:ascii="Garamond" w:hAnsi="Garamond"/>
          <w:bCs/>
          <w:sz w:val="22"/>
          <w:szCs w:val="22"/>
        </w:rPr>
        <w:t>El</w:t>
      </w:r>
      <w:r>
        <w:rPr>
          <w:rFonts w:cs="Arial" w:ascii="Garamond" w:hAnsi="Garamond"/>
          <w:sz w:val="22"/>
          <w:szCs w:val="22"/>
        </w:rPr>
        <w:t xml:space="preserve"> presente Convenio tiene por objeto </w:t>
      </w:r>
      <w:r>
        <w:rPr>
          <w:rFonts w:ascii="Garamond" w:hAnsi="Garamond"/>
          <w:sz w:val="22"/>
          <w:szCs w:val="22"/>
        </w:rPr>
        <w:t>establecer las pautas generales y las condiciones para promover modalidades de colaboración entre ambas instit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>uciones</w:t>
      </w:r>
      <w:r>
        <w:rPr>
          <w:rFonts w:cs="Arial" w:ascii="Garamond" w:hAnsi="Garamond"/>
          <w:b/>
          <w:sz w:val="22"/>
          <w:szCs w:val="22"/>
        </w:rPr>
        <w:t>.</w:t>
      </w:r>
    </w:p>
    <w:p>
      <w:pPr>
        <w:pStyle w:val="Estilopredeterminado"/>
        <w:bidi w:val="0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Ambas partes estudiarán y definirán de mutuo acuerdo, mediante convenios específicos aprobados por sus órganos competentes, las actividades de carácter científico, docente y de divulgación a desarrollar en forma conjunta. Tales actividades se cumplirán respetando la cosmovisión, los objetivos y proyectos de cada entidad. </w:t>
      </w:r>
    </w:p>
    <w:p>
      <w:pPr>
        <w:pStyle w:val="Estilopredeterminado"/>
        <w:bidi w:val="0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>SEGUNDO. EXCLUSIVIDAD.</w:t>
      </w:r>
      <w:r>
        <w:rPr>
          <w:rFonts w:ascii="Garamond" w:hAnsi="Garamond"/>
          <w:sz w:val="22"/>
          <w:szCs w:val="22"/>
        </w:rPr>
        <w:t xml:space="preserve"> Este Convenio no representa un compromiso de exclusividad y por lo tanto no impide que cada Parte pueda desarrollar sus actividades en forma independiente o asociándose a otros organismos. Las partes mantendrán en todo momento la independencia de sus estructuras técnicas y administrativas.</w:t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TERCERO. </w:t>
      </w:r>
      <w:r>
        <w:rPr>
          <w:rFonts w:cs="Arial" w:ascii="Garamond" w:hAnsi="Garamond"/>
          <w:b/>
          <w:sz w:val="22"/>
          <w:szCs w:val="22"/>
        </w:rPr>
        <w:t xml:space="preserve">AUTONOMÍA Y RESPONSABILIDAD DE LAS PARTES. </w:t>
      </w:r>
      <w:r>
        <w:rPr>
          <w:rFonts w:cs="Arial" w:ascii="Garamond" w:hAnsi="Garamond"/>
          <w:sz w:val="22"/>
          <w:szCs w:val="22"/>
        </w:rPr>
        <w:t xml:space="preserve">Cuando para la realización de actividades sea necesario recurrir a personal contratado y/o en relación de dependencia, cada Parte mantendrá su autonomía, tanto respecto a la celebración, como a la ejecución y/o finalización de los contratos, siendo cada una responsable por los eventuales daños y perjuicios que ocasione dicho personal, así como también por el cumplimiento de las normativas laborales y de seguridad social.  </w:t>
      </w:r>
    </w:p>
    <w:p>
      <w:pPr>
        <w:pStyle w:val="Estilopredeterminado"/>
        <w:bidi w:val="0"/>
        <w:spacing w:lineRule="auto" w:line="276"/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rFonts w:cs="Arial" w:ascii="Garamond" w:hAnsi="Garamond"/>
          <w:sz w:val="22"/>
          <w:szCs w:val="22"/>
        </w:rPr>
        <w:t>Cada</w:t>
      </w:r>
      <w:r>
        <w:rPr>
          <w:rFonts w:cs="Arial" w:ascii="Garamond" w:hAnsi="Garamond"/>
          <w:bCs/>
          <w:sz w:val="22"/>
          <w:szCs w:val="22"/>
        </w:rPr>
        <w:t xml:space="preserve"> Parte será responsable de sus respectivos actos u omisiones, ya sea que éstos queden configurados o resulten de actos de sus empleados o de cualquier otro personal o tercero dependiente,</w:t>
      </w:r>
      <w:r>
        <w:rPr>
          <w:rFonts w:cs="Arial" w:ascii="Garamond" w:hAnsi="Garamond"/>
          <w:sz w:val="22"/>
          <w:szCs w:val="22"/>
        </w:rPr>
        <w:t xml:space="preserve"> manteniendo indemne a la otra Parte respecto de eventuales reclamos del personal que invocare responsabilidad solidaria entre ellas</w:t>
      </w:r>
      <w:r>
        <w:rPr>
          <w:rFonts w:cs="Arial" w:ascii="Garamond" w:hAnsi="Garamond"/>
          <w:bCs/>
          <w:sz w:val="22"/>
          <w:szCs w:val="22"/>
        </w:rPr>
        <w:t>.</w:t>
      </w:r>
    </w:p>
    <w:p>
      <w:pPr>
        <w:pStyle w:val="Estilopredeterminado"/>
        <w:bidi w:val="0"/>
        <w:spacing w:lineRule="auto" w:line="276"/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 xml:space="preserve">CUARTO. COORDINADORES. </w:t>
      </w:r>
      <w:r>
        <w:rPr>
          <w:rFonts w:cs="Arial" w:ascii="Garamond" w:hAnsi="Garamond"/>
          <w:sz w:val="22"/>
          <w:szCs w:val="22"/>
        </w:rPr>
        <w:t>Cada Parte designará en calidad de coordinadores de proyecto a los responsables de los programas que se decidan implementar en el marco de los Convenios Específicos. Estos coordinadores dependerán, en el ejercicio de sus funciones, de sus respectivas autoridades.</w:t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rFonts w:eastAsia="Arial" w:ascii="Garamond" w:hAnsi="Garamond"/>
          <w:b/>
          <w:sz w:val="22"/>
          <w:szCs w:val="22"/>
        </w:rPr>
        <w:t xml:space="preserve">QUINTO. OBLIGACIONES ECONÓMICAS. </w:t>
      </w:r>
      <w:r>
        <w:rPr>
          <w:rFonts w:ascii="Garamond" w:hAnsi="Garamond"/>
          <w:sz w:val="22"/>
          <w:szCs w:val="22"/>
        </w:rPr>
        <w:t>La celebración de este Convenio no implica ningún tipo de compromiso de orden económico o financiero para ninguna de las Partes. Todas las obligaciones de carácter económico serán objeto de previsión expresa en los Convenios Específicos mencionados.</w:t>
      </w:r>
    </w:p>
    <w:p>
      <w:pPr>
        <w:pStyle w:val="Estilopredeterminado"/>
        <w:bidi w:val="0"/>
        <w:spacing w:lineRule="auto" w:line="276"/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 xml:space="preserve">SEXTO. PROTECCIÓN DE DATOS. </w:t>
      </w:r>
      <w:r>
        <w:rPr>
          <w:rFonts w:cs="Arial" w:ascii="Garamond" w:hAnsi="Garamond"/>
          <w:sz w:val="22"/>
          <w:szCs w:val="22"/>
        </w:rPr>
        <w:t xml:space="preserve">La información suministrada por las Partes en cumplimiento del Convenio será estrictamente confidencial y se regirá por las disposiciones de la Ley Nacional Nº 24.766. Todas las personas que por razón de sus cargos o funciones tomen conocimiento de datos confidenciales estarán obligadas a guardar absoluta reserva. Los funcionarios o empleados que revelen a terceros o utilicen en provecho propio cualquier información de carácter confidencial, o que incurran dolosamente en los delitos de tergiversación, omisión o adulteración de datos, sufrirán las sanciones que correspondan conforme lo previsto por el Código Penal. </w:t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rFonts w:eastAsia="Arial" w:ascii="Garamond" w:hAnsi="Garamond"/>
          <w:b/>
          <w:sz w:val="22"/>
          <w:szCs w:val="22"/>
        </w:rPr>
        <w:t xml:space="preserve">SÉPTIMO. USO DE MARCAS Y LOGOTIPOS. </w:t>
      </w:r>
      <w:r>
        <w:rPr>
          <w:rFonts w:eastAsia="Arial" w:ascii="Garamond" w:hAnsi="Garamond"/>
          <w:sz w:val="22"/>
          <w:szCs w:val="22"/>
        </w:rPr>
        <w:t xml:space="preserve">Ninguna de las Partes podrá utilizar el nombre, logo o emblema de la otra sin </w:t>
      </w:r>
      <w:r>
        <w:rPr>
          <w:rFonts w:ascii="Garamond" w:hAnsi="Garamond"/>
          <w:sz w:val="22"/>
          <w:szCs w:val="22"/>
        </w:rPr>
        <w:t xml:space="preserve">autorización escrita y previa de sus autoridades correspondientes. </w:t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 xml:space="preserve">OCTAVO. VIGENCIA. </w:t>
      </w:r>
      <w:r>
        <w:rPr>
          <w:rFonts w:cs="Arial" w:ascii="Garamond" w:hAnsi="Garamond"/>
          <w:sz w:val="22"/>
          <w:szCs w:val="22"/>
        </w:rPr>
        <w:t xml:space="preserve">El presente Convenio entrará en vigor al día siguiente de su firma y mantendrá su vigencia por el plazo de cinco (5) años. Al llegar a su término no se renovará de manera automática, excepto en el caso de que las Partes así lo acuerden de forma previa y por escrito. </w:t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bidi w:val="0"/>
        <w:spacing w:lineRule="auto" w:line="276"/>
        <w:rPr>
          <w:sz w:val="22"/>
          <w:szCs w:val="22"/>
        </w:rPr>
      </w:pPr>
      <w:r>
        <w:rPr>
          <w:rFonts w:cs="Century Gothic" w:ascii="Garamond" w:hAnsi="Garamond"/>
          <w:b/>
          <w:sz w:val="22"/>
          <w:szCs w:val="22"/>
        </w:rPr>
        <w:t xml:space="preserve">NOVENO. RESCISIÓN. </w:t>
      </w:r>
      <w:r>
        <w:rPr>
          <w:rFonts w:cs="Century Gothic" w:ascii="Garamond" w:hAnsi="Garamond"/>
          <w:sz w:val="22"/>
          <w:szCs w:val="22"/>
        </w:rPr>
        <w:t xml:space="preserve">Cada Parte </w:t>
      </w:r>
      <w:r>
        <w:rPr>
          <w:rFonts w:cs="Century Gothic" w:ascii="Garamond" w:hAnsi="Garamond"/>
          <w:bCs w:val="false"/>
          <w:sz w:val="22"/>
          <w:szCs w:val="22"/>
        </w:rPr>
        <w:t xml:space="preserve">podrá rescindir el presente Convenio, en cualquier momento, sin justificación de causa, debiendo notificar esta decisión a la contraparte con una anticipación no menor a treinta (30) días hábiles a la fecha prevista de rescisión. La rescisión no dará lugar al pago </w:t>
      </w:r>
      <w:r>
        <w:rPr>
          <w:rFonts w:cs="Century Gothic" w:ascii="Garamond" w:hAnsi="Garamond"/>
          <w:sz w:val="22"/>
          <w:szCs w:val="22"/>
        </w:rPr>
        <w:t xml:space="preserve">de compensación y/o indemnización de ninguna índole a favor de ninguna de las Partes. </w:t>
      </w:r>
    </w:p>
    <w:p>
      <w:pPr>
        <w:pStyle w:val="Cuerpodetexto"/>
        <w:bidi w:val="0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rFonts w:eastAsia="Arial" w:ascii="Garamond" w:hAnsi="Garamond"/>
          <w:sz w:val="22"/>
          <w:szCs w:val="22"/>
        </w:rPr>
        <w:t>Las acciones, programas, tareas y Convenios Específicos iniciados durante la vigencia del Convenio</w:t>
      </w:r>
      <w:r>
        <w:rPr>
          <w:rFonts w:eastAsia="Arial" w:ascii="Garamond" w:hAnsi="Garamond"/>
          <w:b/>
          <w:sz w:val="22"/>
          <w:szCs w:val="22"/>
        </w:rPr>
        <w:t xml:space="preserve"> </w:t>
      </w:r>
      <w:r>
        <w:rPr>
          <w:rFonts w:eastAsia="Arial" w:ascii="Garamond" w:hAnsi="Garamond"/>
          <w:sz w:val="22"/>
          <w:szCs w:val="22"/>
        </w:rPr>
        <w:t xml:space="preserve">y que se encuentren en vías de ejecución al momento de la rescisión continuarán ejecutándose de la manera prevista hasta su normal conclusión. </w:t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 xml:space="preserve">DÉCIMO. COMUNICACIONES. </w:t>
      </w:r>
      <w:r>
        <w:rPr>
          <w:rFonts w:eastAsia="Arial" w:ascii="Garamond" w:hAnsi="Garamond"/>
          <w:sz w:val="22"/>
          <w:szCs w:val="22"/>
        </w:rPr>
        <w:t xml:space="preserve">Las comunicaciones referentes a cualquier aspecto de este Convenio podrán realizarse por vía telefónica, postal o correo electrónico a las siguientes direcciones: </w:t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rFonts w:ascii="Garamond" w:hAnsi="Garamond" w:eastAsia="Arial"/>
          <w:sz w:val="22"/>
          <w:szCs w:val="22"/>
          <w:u w:val="single"/>
        </w:rPr>
      </w:pPr>
      <w:r>
        <w:rPr>
          <w:rFonts w:eastAsia="Arial" w:ascii="Garamond" w:hAnsi="Garamond"/>
          <w:sz w:val="22"/>
          <w:szCs w:val="22"/>
          <w:u w:val="single"/>
        </w:rPr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sz w:val="22"/>
          <w:szCs w:val="22"/>
        </w:rPr>
      </w:pPr>
      <w:r>
        <w:rPr>
          <w:rFonts w:eastAsia="Arial" w:ascii="Garamond" w:hAnsi="Garamond"/>
          <w:sz w:val="22"/>
          <w:szCs w:val="22"/>
          <w:u w:val="single"/>
        </w:rPr>
        <w:t>UNIVERSIDAD CATÓLICA ARGENTINA</w:t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sz w:val="22"/>
          <w:szCs w:val="22"/>
        </w:rPr>
      </w:pPr>
      <w:r>
        <w:rPr>
          <w:rFonts w:eastAsia="Arial" w:ascii="Garamond" w:hAnsi="Garamond"/>
          <w:sz w:val="22"/>
          <w:szCs w:val="22"/>
        </w:rPr>
        <w:t>Facultad “Teresa de Ávila”</w:t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sz w:val="22"/>
          <w:szCs w:val="22"/>
        </w:rPr>
      </w:pPr>
      <w:r>
        <w:rPr>
          <w:rFonts w:eastAsia="Arial" w:ascii="Garamond" w:hAnsi="Garamond"/>
          <w:sz w:val="22"/>
          <w:szCs w:val="22"/>
        </w:rPr>
        <w:t>Buenos Aires 239 (3100) Paraná</w:t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sz w:val="22"/>
          <w:szCs w:val="22"/>
        </w:rPr>
      </w:pPr>
      <w:r>
        <w:rPr>
          <w:rFonts w:eastAsia="Arial" w:ascii="Garamond" w:hAnsi="Garamond"/>
          <w:sz w:val="22"/>
          <w:szCs w:val="22"/>
        </w:rPr>
        <w:t>Entre Ríos – Argentina</w:t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sz w:val="22"/>
          <w:szCs w:val="22"/>
        </w:rPr>
      </w:pPr>
      <w:r>
        <w:rPr>
          <w:rFonts w:eastAsia="Arial" w:ascii="Garamond" w:hAnsi="Garamond"/>
          <w:sz w:val="22"/>
          <w:szCs w:val="22"/>
        </w:rPr>
        <w:t>Tel: 0810 2200 822</w:t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sz w:val="22"/>
          <w:szCs w:val="22"/>
        </w:rPr>
      </w:pPr>
      <w:r>
        <w:rPr>
          <w:rFonts w:eastAsia="Arial" w:ascii="Garamond" w:hAnsi="Garamond"/>
          <w:sz w:val="22"/>
          <w:szCs w:val="22"/>
        </w:rPr>
        <w:t>Comunicación_parana@uca.edu.ar</w:t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sz w:val="22"/>
          <w:szCs w:val="22"/>
        </w:rPr>
      </w:pPr>
      <w:r>
        <w:rPr>
          <w:rFonts w:eastAsia="Arial" w:ascii="Garamond" w:hAnsi="Garamond"/>
          <w:sz w:val="22"/>
          <w:szCs w:val="22"/>
          <w:u w:val="single"/>
        </w:rPr>
        <w:t xml:space="preserve">CONTRAPARTE </w:t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sz w:val="22"/>
          <w:szCs w:val="22"/>
        </w:rPr>
      </w:pPr>
      <w:r>
        <w:rPr>
          <w:rFonts w:eastAsia="Arial" w:ascii="Garamond" w:hAnsi="Garamond"/>
          <w:sz w:val="22"/>
          <w:szCs w:val="22"/>
        </w:rPr>
        <w:t>BIBLIOTECA DEL PODER JUDICIAL DE ENTRE RÍOS</w:t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sz w:val="22"/>
          <w:szCs w:val="22"/>
        </w:rPr>
      </w:pPr>
      <w:r>
        <w:rPr>
          <w:rFonts w:eastAsia="Arial" w:ascii="Garamond" w:hAnsi="Garamond"/>
          <w:sz w:val="22"/>
          <w:szCs w:val="22"/>
        </w:rPr>
        <w:t>Laprida 255 (3100) Paraná</w:t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sz w:val="22"/>
          <w:szCs w:val="22"/>
        </w:rPr>
      </w:pPr>
      <w:r>
        <w:rPr>
          <w:rFonts w:eastAsia="Arial" w:ascii="Garamond" w:hAnsi="Garamond"/>
          <w:sz w:val="22"/>
          <w:szCs w:val="22"/>
        </w:rPr>
        <w:t>Entre Ríos – Argentina</w:t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sz w:val="22"/>
          <w:szCs w:val="22"/>
        </w:rPr>
      </w:pPr>
      <w:r>
        <w:rPr>
          <w:rFonts w:eastAsia="Arial" w:ascii="Garamond" w:hAnsi="Garamond"/>
          <w:sz w:val="22"/>
          <w:szCs w:val="22"/>
        </w:rPr>
        <w:t xml:space="preserve">0343 42006165 </w:t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sz w:val="22"/>
          <w:szCs w:val="22"/>
        </w:rPr>
      </w:pPr>
      <w:r>
        <w:rPr>
          <w:rFonts w:eastAsia="Arial" w:ascii="Garamond" w:hAnsi="Garamond"/>
          <w:sz w:val="22"/>
          <w:szCs w:val="22"/>
        </w:rPr>
        <w:t>bibliotecastjer@gmail.com</w:t>
      </w:r>
    </w:p>
    <w:p>
      <w:pPr>
        <w:pStyle w:val="Estilopredeterminado"/>
        <w:bidi w:val="0"/>
        <w:spacing w:lineRule="auto" w:line="276"/>
        <w:ind w:left="567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widowControl w:val="false"/>
        <w:bidi w:val="0"/>
        <w:spacing w:lineRule="auto" w:line="276"/>
        <w:jc w:val="both"/>
        <w:rPr>
          <w:sz w:val="22"/>
          <w:szCs w:val="22"/>
        </w:rPr>
      </w:pPr>
      <w:r>
        <w:rPr>
          <w:rFonts w:cs="Century Gothic" w:ascii="Garamond" w:hAnsi="Garamond"/>
          <w:b/>
          <w:sz w:val="22"/>
          <w:szCs w:val="22"/>
        </w:rPr>
        <w:t>DÉCIMO PRIMERO. CUESTIONES NO PREVISTAS.</w:t>
      </w:r>
      <w:r>
        <w:rPr>
          <w:rFonts w:cs="Century Gothic" w:ascii="Garamond" w:hAnsi="Garamond"/>
          <w:sz w:val="22"/>
          <w:szCs w:val="22"/>
        </w:rPr>
        <w:t xml:space="preserve"> Las </w:t>
      </w:r>
      <w:r>
        <w:rPr>
          <w:rFonts w:cs="Century Gothic" w:ascii="Garamond" w:hAnsi="Garamond"/>
          <w:iCs/>
          <w:sz w:val="22"/>
          <w:szCs w:val="22"/>
        </w:rPr>
        <w:t>cuestiones no previstas y/o establecidas expresamente en el presente Convenio se resolverán de común acuerdo y se plasmarán en un anexo que formará parte del presente</w:t>
      </w:r>
      <w:r>
        <w:rPr>
          <w:rFonts w:cs="Century Gothic" w:ascii="Garamond" w:hAnsi="Garamond"/>
          <w:bCs/>
          <w:iCs/>
          <w:sz w:val="22"/>
          <w:szCs w:val="22"/>
        </w:rPr>
        <w:t>.</w:t>
      </w:r>
    </w:p>
    <w:p>
      <w:pPr>
        <w:pStyle w:val="Estilopredeterminado"/>
        <w:widowControl w:val="false"/>
        <w:bidi w:val="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 xml:space="preserve">DÉCIMO SEGUNDO. SOLUCIÓN DE CONTROVERSIAS. </w:t>
      </w:r>
      <w:r>
        <w:rPr>
          <w:rFonts w:cs="Arial" w:ascii="Garamond" w:hAnsi="Garamond"/>
          <w:sz w:val="22"/>
          <w:szCs w:val="22"/>
        </w:rPr>
        <w:t xml:space="preserve">Cualquier divergencia que pueda suscitarse en la ejecución de los programas acordados por el presente Convenio será resuelta por ambas Partes de común acuerdo. </w:t>
      </w:r>
      <w:r>
        <w:rPr>
          <w:rFonts w:ascii="Garamond" w:hAnsi="Garamond"/>
          <w:iCs/>
          <w:sz w:val="22"/>
          <w:szCs w:val="22"/>
        </w:rPr>
        <w:t>En última instancia, las Partes acuerdan someterse a los tribunales ordinarios de la Ciudad Autónoma de Buenos Aires, con renuncia a cualquier otro fuero o jurisdicción, y la ley aplicable será la que rige en la República Argentina.</w:t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 xml:space="preserve">DÉCIMO TERCERO. DOMICILIOS. </w:t>
      </w:r>
      <w:r>
        <w:rPr>
          <w:rFonts w:cs="Arial" w:ascii="Garamond" w:hAnsi="Garamond"/>
          <w:sz w:val="22"/>
          <w:szCs w:val="22"/>
        </w:rPr>
        <w:t xml:space="preserve">A todos los efectos legales, las Partes constituyen domicilios en los indicados en el encabezamiento. </w:t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Estilopredeterminado"/>
        <w:bidi w:val="0"/>
        <w:spacing w:lineRule="auto" w:line="276"/>
        <w:jc w:val="both"/>
        <w:rPr>
          <w:sz w:val="22"/>
          <w:szCs w:val="22"/>
        </w:rPr>
      </w:pPr>
      <w:r>
        <w:rPr>
          <w:rFonts w:cs="Arial" w:ascii="Garamond" w:hAnsi="Garamond"/>
          <w:sz w:val="22"/>
          <w:szCs w:val="22"/>
        </w:rPr>
        <w:t>En prueba de conformidad se firman dos (2) ejemplares de un mismo tenor y a un solo efecto en la Ciudad de Paraná, a los veintitrés días del mes de noviembre del año 2023.</w:t>
      </w:r>
    </w:p>
    <w:p>
      <w:pPr>
        <w:pStyle w:val="Estilopredeterminado"/>
        <w:bidi w:val="0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5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3"/>
        <w:gridCol w:w="4259"/>
      </w:tblGrid>
      <w:tr>
        <w:trPr/>
        <w:tc>
          <w:tcPr>
            <w:tcW w:w="4243" w:type="dxa"/>
            <w:tcBorders/>
            <w:shd w:fill="FFFFFF" w:val="clear"/>
          </w:tcPr>
          <w:p>
            <w:pPr>
              <w:pStyle w:val="Estilopredeterminado"/>
              <w:widowControl w:val="false"/>
              <w:bidi w:val="0"/>
              <w:jc w:val="center"/>
              <w:rPr>
                <w:rFonts w:ascii="Garamond" w:hAnsi="Garamond"/>
                <w:b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</w:r>
          </w:p>
          <w:p>
            <w:pPr>
              <w:pStyle w:val="Estilopredeterminado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Estilopredeterminado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Estilopredeterminado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Estilopredeterminado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Estilopredeterminado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______________</w:t>
            </w:r>
          </w:p>
        </w:tc>
        <w:tc>
          <w:tcPr>
            <w:tcW w:w="4259" w:type="dxa"/>
            <w:tcBorders/>
            <w:shd w:fill="FFFFFF" w:val="clear"/>
          </w:tcPr>
          <w:p>
            <w:pPr>
              <w:pStyle w:val="Estilopredeterminado"/>
              <w:widowControl w:val="false"/>
              <w:bidi w:val="0"/>
              <w:jc w:val="center"/>
              <w:rPr>
                <w:rFonts w:ascii="Garamond" w:hAnsi="Garamond"/>
                <w:b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</w:r>
          </w:p>
          <w:p>
            <w:pPr>
              <w:pStyle w:val="Estilopredeterminado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Estilopredeterminado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Estilopredeterminado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Estilopredeterminado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Estilopredeterminado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__________________</w:t>
            </w:r>
          </w:p>
        </w:tc>
      </w:tr>
      <w:tr>
        <w:trPr/>
        <w:tc>
          <w:tcPr>
            <w:tcW w:w="4243" w:type="dxa"/>
            <w:tcBorders/>
            <w:shd w:fill="FFFFFF" w:val="clear"/>
          </w:tcPr>
          <w:p>
            <w:pPr>
              <w:pStyle w:val="Estilopredeterminado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Marcelo Adrián Agolti</w:t>
            </w:r>
          </w:p>
          <w:p>
            <w:pPr>
              <w:pStyle w:val="Estilopredeterminado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Decano</w:t>
            </w:r>
          </w:p>
        </w:tc>
        <w:tc>
          <w:tcPr>
            <w:tcW w:w="4259" w:type="dxa"/>
            <w:tcBorders/>
            <w:shd w:fill="FFFFFF" w:val="clear"/>
          </w:tcPr>
          <w:p>
            <w:pPr>
              <w:pStyle w:val="Estilopredeterminado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Susana Medina</w:t>
            </w:r>
          </w:p>
          <w:p>
            <w:pPr>
              <w:pStyle w:val="Estilopredeterminado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Presidenta Superior Tribunal de Justicia</w:t>
            </w:r>
          </w:p>
        </w:tc>
      </w:tr>
    </w:tbl>
    <w:p>
      <w:pPr>
        <w:pStyle w:val="Estilopredeterminado"/>
        <w:widowControl/>
        <w:suppressAutoHyphens w:val="true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Univers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bidi w:val="0"/>
      <w:jc w:val="center"/>
      <w:rPr/>
    </w:pPr>
    <w:r>
      <w:rPr>
        <w:rFonts w:ascii="Garamond" w:hAnsi="Garamond"/>
        <w:sz w:val="20"/>
        <w:szCs w:val="20"/>
        <w:lang w:val="es-ES"/>
      </w:rPr>
      <w:t xml:space="preserve">Página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>
        <w:rFonts w:ascii="Garamond" w:hAnsi="Garamond"/>
        <w:sz w:val="20"/>
        <w:szCs w:val="20"/>
        <w:lang w:val="es-ES"/>
      </w:rPr>
      <w:t xml:space="preserve"> de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Piedepgina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do"/>
      <w:bidi w:val="0"/>
      <w:spacing w:before="240" w:after="120"/>
      <w:jc w:val="center"/>
      <w:rPr/>
    </w:pPr>
    <w:r>
      <w:rPr/>
      <w:drawing>
        <wp:inline distT="0" distB="0" distL="0" distR="0">
          <wp:extent cx="853440" cy="853440"/>
          <wp:effectExtent l="0" t="0" r="0" b="0"/>
          <wp:docPr id="1" name="Picture" descr="Logo 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Logo U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Encabezado"/>
      <w:bidi w:val="0"/>
      <w:jc w:val="right"/>
      <w:rPr/>
    </w:pPr>
    <w:r>
      <w:rPr/>
    </w:r>
  </w:p>
  <w:p>
    <w:pPr>
      <w:pStyle w:val="Encabezado"/>
      <w:bidi w:val="0"/>
      <w:spacing w:before="240" w:after="120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es-AR" w:eastAsia="zh-CN" w:bidi="hi-IN"/>
    </w:rPr>
  </w:style>
  <w:style w:type="character" w:styleId="DefaultParagraphFont">
    <w:name w:val="Default Paragraph Font"/>
    <w:qFormat/>
    <w:rPr/>
  </w:style>
  <w:style w:type="character" w:styleId="EncabezadoCar">
    <w:name w:val="Encabezado Car"/>
    <w:basedOn w:val="DefaultParagraphFont"/>
    <w:qFormat/>
    <w:rPr>
      <w:sz w:val="24"/>
      <w:szCs w:val="24"/>
    </w:rPr>
  </w:style>
  <w:style w:type="character" w:styleId="TextoindependienteCar">
    <w:name w:val="Texto independiente Car"/>
    <w:basedOn w:val="DefaultParagraphFont"/>
    <w:qFormat/>
    <w:rPr>
      <w:bCs/>
      <w:sz w:val="24"/>
      <w:szCs w:val="24"/>
    </w:rPr>
  </w:style>
  <w:style w:type="character" w:styleId="PiedepginaCar">
    <w:name w:val="Pie de página Car"/>
    <w:basedOn w:val="DefaultParagraphFont"/>
    <w:qFormat/>
    <w:rPr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xtocomentarioCar">
    <w:name w:val="Texto comentario Car"/>
    <w:basedOn w:val="DefaultParagraphFont"/>
    <w:qFormat/>
    <w:rPr/>
  </w:style>
  <w:style w:type="character" w:styleId="TextodegloboCar">
    <w:name w:val="Texto de globo Car"/>
    <w:basedOn w:val="DefaultParagraphFont"/>
    <w:qFormat/>
    <w:rPr>
      <w:rFonts w:ascii="Tahoma" w:hAnsi="Tahoma" w:cs="Tahoma"/>
      <w:sz w:val="16"/>
      <w:szCs w:val="16"/>
    </w:rPr>
  </w:style>
  <w:style w:type="character" w:styleId="EnlacedeInternet">
    <w:name w:val="Enlace de Internet"/>
    <w:basedOn w:val="DefaultParagraphFont"/>
    <w:rPr>
      <w:color w:val="0000FF"/>
      <w:u w:val="single"/>
      <w:lang w:val="zxx" w:eastAsia="zxx" w:bidi="zxx"/>
    </w:rPr>
  </w:style>
  <w:style w:type="character" w:styleId="Ttulo2Car">
    <w:name w:val="Título 2 Car"/>
    <w:basedOn w:val="DefaultParagraphFont"/>
    <w:qFormat/>
    <w:rPr>
      <w:lang w:val="es-ES" w:eastAsia="zh-CN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Estilopredeterminado"/>
    <w:pPr>
      <w:jc w:val="both"/>
    </w:pPr>
    <w:rPr>
      <w:bCs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Estilopredeterminado"/>
    <w:qFormat/>
    <w:pPr>
      <w:suppressLineNumbers/>
    </w:pPr>
    <w:rPr>
      <w:rFonts w:cs="Mangal"/>
    </w:rPr>
  </w:style>
  <w:style w:type="paragraph" w:styleId="Estilopredeterminado">
    <w:name w:val="Estilo predeterminado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s-AR" w:eastAsia="es-AR" w:bidi="ar-SA"/>
    </w:rPr>
  </w:style>
  <w:style w:type="paragraph" w:styleId="Encabezado2">
    <w:name w:val="Encabezado 2"/>
    <w:basedOn w:val="Encabezado"/>
    <w:qFormat/>
    <w:pPr>
      <w:widowControl/>
      <w:numPr>
        <w:ilvl w:val="0"/>
        <w:numId w:val="1"/>
      </w:numPr>
      <w:suppressAutoHyphens w:val="true"/>
    </w:pPr>
    <w:rPr>
      <w:color w:val="auto"/>
      <w:lang w:val="es-ES" w:eastAsia="zh-CN"/>
    </w:rPr>
  </w:style>
  <w:style w:type="paragraph" w:styleId="Encabezado">
    <w:name w:val="Encabezado"/>
    <w:basedOn w:val="Estilopredeterminado"/>
    <w:qFormat/>
    <w:pPr/>
    <w:rPr/>
  </w:style>
  <w:style w:type="paragraph" w:styleId="Etiqueta">
    <w:name w:val="Etiqueta"/>
    <w:basedOn w:val="Estilopredeterminad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Estilopredeterminado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Estilopredeterminado"/>
    <w:qFormat/>
    <w:pPr>
      <w:spacing w:before="0" w:after="0"/>
      <w:ind w:left="720" w:right="0" w:hanging="0"/>
      <w:contextualSpacing/>
    </w:pPr>
    <w:rPr/>
  </w:style>
  <w:style w:type="paragraph" w:styleId="Annotationtext">
    <w:name w:val="annotation text"/>
    <w:basedOn w:val="Estilopredeterminado"/>
    <w:qFormat/>
    <w:pPr/>
    <w:rPr>
      <w:sz w:val="20"/>
      <w:szCs w:val="20"/>
    </w:rPr>
  </w:style>
  <w:style w:type="paragraph" w:styleId="BalloonText">
    <w:name w:val="Balloon Text"/>
    <w:basedOn w:val="Estilopredeterminado"/>
    <w:qFormat/>
    <w:pPr/>
    <w:rPr>
      <w:rFonts w:ascii="Tahoma" w:hAnsi="Tahoma" w:cs="Tahoma"/>
      <w:sz w:val="16"/>
      <w:szCs w:val="16"/>
    </w:rPr>
  </w:style>
  <w:style w:type="paragraph" w:styleId="Textoindependiente21">
    <w:name w:val="Texto independiente 21"/>
    <w:basedOn w:val="Estilopredeterminado"/>
    <w:qFormat/>
    <w:pPr>
      <w:suppressAutoHyphens w:val="true"/>
      <w:jc w:val="both"/>
    </w:pPr>
    <w:rPr>
      <w:rFonts w:ascii="Univers" w:hAnsi="Univers" w:cs="Univers"/>
      <w:b/>
      <w:i/>
      <w:iCs/>
      <w:sz w:val="20"/>
      <w:szCs w:val="20"/>
      <w:lang w:val="es-ES" w:eastAsia="zh-CN"/>
    </w:rPr>
  </w:style>
  <w:style w:type="paragraph" w:styleId="Cabecera">
    <w:name w:val="Header"/>
    <w:basedOn w:val="Cabeceraypie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LibreOffice/7.2.7.2$Windows_X86_64 LibreOffice_project/8d71d29d553c0f7dcbfa38fbfda25ee34cce99a2</Application>
  <AppVersion>15.0000</AppVersion>
  <Pages>3</Pages>
  <Words>949</Words>
  <Characters>5408</Characters>
  <CharactersWithSpaces>6334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2023-06-27T11:25:00Z</dcterms:created>
  <dc:creator>Gonzalo Pereda</dc:creator>
  <dc:description/>
  <dc:language>es-AR</dc:language>
  <cp:lastModifiedBy/>
  <cp:lastPrinted>2023-11-22T11:22:13Z</cp:lastPrinted>
  <dcterms:modified xsi:type="dcterms:W3CDTF">2023-11-22T11:22:22Z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