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C" w:rsidRDefault="003D2EFC" w:rsidP="003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Theme="minorEastAsia" w:hAnsi="Arial" w:cs="Calibri"/>
          <w:b/>
          <w:sz w:val="24"/>
          <w:szCs w:val="24"/>
          <w:u w:val="single"/>
          <w:lang w:eastAsia="es-AR"/>
        </w:rPr>
      </w:pPr>
      <w:r>
        <w:rPr>
          <w:rFonts w:ascii="Arial" w:eastAsiaTheme="minorEastAsia" w:hAnsi="Arial" w:cs="Calibri"/>
          <w:b/>
          <w:sz w:val="24"/>
          <w:szCs w:val="24"/>
          <w:u w:val="single"/>
          <w:lang w:eastAsia="es-AR"/>
        </w:rPr>
        <w:t>PARTE PERTINENTE DEL ACUERDO GENERAL Nº 30/19 DEL 01-10-19</w:t>
      </w:r>
      <w:r>
        <w:rPr>
          <w:rFonts w:ascii="Arial" w:eastAsiaTheme="minorEastAsia" w:hAnsi="Arial" w:cs="Calibri"/>
          <w:b/>
          <w:sz w:val="24"/>
          <w:szCs w:val="24"/>
          <w:lang w:eastAsia="es-AR"/>
        </w:rPr>
        <w:t>.-</w:t>
      </w:r>
    </w:p>
    <w:p w:rsidR="003D2EFC" w:rsidRDefault="003D2EFC" w:rsidP="003D2E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es-AR"/>
        </w:rPr>
      </w:pPr>
    </w:p>
    <w:p w:rsidR="003D2EFC" w:rsidRDefault="003D2EFC" w:rsidP="003D2EFC">
      <w:pPr>
        <w:spacing w:after="0" w:line="360" w:lineRule="auto"/>
        <w:jc w:val="both"/>
        <w:rPr>
          <w:rFonts w:ascii="Arial" w:hAnsi="Arial" w:cs="Arial"/>
          <w:b/>
          <w:color w:val="000000"/>
          <w:lang w:val="es-ES"/>
        </w:rPr>
      </w:pPr>
      <w:r w:rsidRPr="00E5733E">
        <w:rPr>
          <w:rFonts w:ascii="Arial" w:hAnsi="Arial" w:cs="Arial"/>
          <w:b/>
          <w:sz w:val="24"/>
          <w:szCs w:val="24"/>
          <w:u w:val="single"/>
          <w:lang w:eastAsia="es-AR"/>
        </w:rPr>
        <w:t>PUNTO TERCERO</w:t>
      </w:r>
      <w:r>
        <w:rPr>
          <w:rFonts w:ascii="Arial" w:hAnsi="Arial" w:cs="Arial"/>
          <w:b/>
          <w:sz w:val="24"/>
          <w:szCs w:val="24"/>
          <w:lang w:eastAsia="es-AR"/>
        </w:rPr>
        <w:t xml:space="preserve">: </w:t>
      </w:r>
      <w:r w:rsidRPr="00B55971">
        <w:rPr>
          <w:rFonts w:ascii="Arial" w:hAnsi="Arial" w:cs="Arial"/>
          <w:b/>
          <w:sz w:val="24"/>
          <w:szCs w:val="24"/>
          <w:lang w:eastAsia="es-AR"/>
        </w:rPr>
        <w:t xml:space="preserve">DIRECTOR DE GESTIÓN HUMANA - </w:t>
      </w:r>
      <w:r w:rsidRPr="00B55971">
        <w:rPr>
          <w:rFonts w:ascii="Arial" w:hAnsi="Arial" w:cs="Arial"/>
          <w:b/>
          <w:bCs/>
          <w:sz w:val="24"/>
          <w:szCs w:val="24"/>
          <w:lang w:eastAsia="es-AR"/>
        </w:rPr>
        <w:t>PROPUESTA DE NORMATIVA PARA SALIDAS DE JURISDICCIÓN DE LA MAGISTRATURA Y EL FUNCIONARIADO JUDICIAL.-</w:t>
      </w:r>
      <w:r>
        <w:rPr>
          <w:rFonts w:ascii="Arial" w:hAnsi="Arial" w:cs="Arial"/>
          <w:b/>
          <w:bCs/>
          <w:sz w:val="24"/>
          <w:szCs w:val="24"/>
          <w:lang w:eastAsia="es-AR"/>
        </w:rPr>
        <w:t xml:space="preserve"> </w:t>
      </w:r>
      <w:r w:rsidRPr="00FD3190">
        <w:rPr>
          <w:rFonts w:ascii="Arial" w:hAnsi="Arial" w:cs="Arial"/>
          <w:bCs/>
          <w:sz w:val="24"/>
          <w:szCs w:val="24"/>
          <w:lang w:eastAsia="es-AR"/>
        </w:rPr>
        <w:t>En este estado, el señor Presiden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te, Dr. Emilio A. E. </w:t>
      </w:r>
      <w:proofErr w:type="spellStart"/>
      <w:r>
        <w:rPr>
          <w:rFonts w:ascii="Arial" w:hAnsi="Arial" w:cs="Arial"/>
          <w:bCs/>
          <w:sz w:val="24"/>
          <w:szCs w:val="24"/>
          <w:lang w:eastAsia="es-AR"/>
        </w:rPr>
        <w:t>Castrillon</w:t>
      </w:r>
      <w:proofErr w:type="spellEnd"/>
      <w:r>
        <w:rPr>
          <w:rFonts w:ascii="Arial" w:hAnsi="Arial" w:cs="Arial"/>
          <w:bCs/>
          <w:sz w:val="24"/>
          <w:szCs w:val="24"/>
          <w:lang w:eastAsia="es-AR"/>
        </w:rPr>
        <w:t xml:space="preserve">, trae a consideración la propuesta </w:t>
      </w:r>
      <w:r>
        <w:rPr>
          <w:rFonts w:ascii="Arial" w:hAnsi="Arial" w:cs="Arial"/>
          <w:sz w:val="24"/>
          <w:szCs w:val="24"/>
        </w:rPr>
        <w:t>presentada</w:t>
      </w:r>
      <w:r w:rsidRPr="00FD3190">
        <w:rPr>
          <w:rFonts w:ascii="Arial" w:hAnsi="Arial" w:cs="Arial"/>
          <w:sz w:val="24"/>
          <w:szCs w:val="24"/>
        </w:rPr>
        <w:t xml:space="preserve"> por la Asociación de la Magistratura y la Función Judicial de la provincia de Entre Ríos, a los </w:t>
      </w:r>
      <w:r w:rsidRPr="00FD3190">
        <w:rPr>
          <w:rFonts w:ascii="Arial" w:hAnsi="Arial" w:cs="Arial"/>
          <w:color w:val="000000"/>
          <w:sz w:val="24"/>
          <w:szCs w:val="24"/>
        </w:rPr>
        <w:t>fines de modificar el Reglamento de Salidas de Jurisdicción de Magistrados y Funcionarios, aprobado por Acuerdo General Nº 32/18 del 23/10/18, Punto 3º)</w:t>
      </w:r>
      <w:r>
        <w:rPr>
          <w:rFonts w:ascii="Arial" w:hAnsi="Arial" w:cs="Arial"/>
          <w:color w:val="000000"/>
          <w:sz w:val="24"/>
          <w:szCs w:val="24"/>
        </w:rPr>
        <w:t xml:space="preserve">. Informa que desde la Dirección de Gestión Humana se elevó un 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proyecto de normativa para salidas de jurisdicción de </w:t>
      </w:r>
      <w:r>
        <w:rPr>
          <w:rFonts w:ascii="Arial" w:hAnsi="Arial" w:cs="Arial"/>
          <w:color w:val="000000"/>
          <w:sz w:val="24"/>
          <w:szCs w:val="24"/>
        </w:rPr>
        <w:t>quienes ejercen la magistratura y la función judicial</w:t>
      </w:r>
      <w:r w:rsidRPr="00FD3190">
        <w:rPr>
          <w:rFonts w:ascii="Arial" w:hAnsi="Arial" w:cs="Arial"/>
          <w:sz w:val="24"/>
          <w:szCs w:val="24"/>
        </w:rPr>
        <w:t>, el cual se consensuó con la</w:t>
      </w:r>
      <w:r>
        <w:rPr>
          <w:rFonts w:ascii="Arial" w:hAnsi="Arial" w:cs="Arial"/>
          <w:sz w:val="24"/>
          <w:szCs w:val="24"/>
        </w:rPr>
        <w:t xml:space="preserve"> señora</w:t>
      </w:r>
      <w:r w:rsidRPr="00FD3190">
        <w:rPr>
          <w:rFonts w:ascii="Arial" w:hAnsi="Arial" w:cs="Arial"/>
          <w:sz w:val="24"/>
          <w:szCs w:val="24"/>
        </w:rPr>
        <w:t xml:space="preserve"> Presidenta de la Asociación de la Magistratura y la Función Judicial de la provincia de Entre Ríos, Dra. Gabriela López Arango.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Ante ello, la Asociación de la Magistratura </w:t>
      </w:r>
      <w:r>
        <w:rPr>
          <w:rFonts w:ascii="Arial" w:hAnsi="Arial" w:cs="Arial"/>
          <w:color w:val="000000"/>
          <w:sz w:val="24"/>
          <w:szCs w:val="24"/>
        </w:rPr>
        <w:t>solicitó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 la derogación de</w:t>
      </w:r>
      <w:r>
        <w:rPr>
          <w:rFonts w:ascii="Arial" w:hAnsi="Arial" w:cs="Arial"/>
          <w:color w:val="000000"/>
          <w:sz w:val="24"/>
          <w:szCs w:val="24"/>
        </w:rPr>
        <w:t xml:space="preserve"> ciertas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 restricciones, sugiriendo las siguientes modificaciones a los art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FD3190">
        <w:rPr>
          <w:rFonts w:ascii="Arial" w:hAnsi="Arial" w:cs="Arial"/>
          <w:color w:val="000000"/>
          <w:sz w:val="24"/>
          <w:szCs w:val="24"/>
        </w:rPr>
        <w:t>. 5º y 6º</w:t>
      </w:r>
      <w:r>
        <w:rPr>
          <w:rFonts w:ascii="Arial" w:hAnsi="Arial" w:cs="Arial"/>
          <w:color w:val="000000"/>
          <w:sz w:val="24"/>
          <w:szCs w:val="24"/>
        </w:rPr>
        <w:t xml:space="preserve"> del Reglamento de mención</w:t>
      </w:r>
      <w:r w:rsidRPr="00FD3190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1)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 xml:space="preserve">ue, como regla, se eliminen los límites temporales para las salidas transitorias, siempre que el/la magistrado/a o funcionario/a que la solicite deje en su lugar un subrogante; 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2)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>ue se elimine la prohibición de salidas transitorias para magistrados/as o funcionari</w:t>
      </w:r>
      <w:r>
        <w:rPr>
          <w:rFonts w:ascii="Arial" w:hAnsi="Arial" w:cs="Arial"/>
          <w:sz w:val="24"/>
          <w:szCs w:val="24"/>
        </w:rPr>
        <w:t>os/as que se encuentren de turno.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D3190">
        <w:rPr>
          <w:rFonts w:ascii="Arial" w:hAnsi="Arial" w:cs="Arial"/>
          <w:sz w:val="24"/>
          <w:szCs w:val="24"/>
        </w:rPr>
        <w:t>especto de los dos puntos anteriores, la propuesta se funda en que no existe razón válida para negar la autorización de ausencia, cuando se deja un subrogante;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3)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 xml:space="preserve">ue, en caso de que se mantenga el límite temporal autorizado para los fines de semana, se compute por días, en un </w:t>
      </w:r>
      <w:r>
        <w:rPr>
          <w:rFonts w:ascii="Arial" w:hAnsi="Arial" w:cs="Arial"/>
          <w:sz w:val="24"/>
          <w:szCs w:val="24"/>
        </w:rPr>
        <w:t xml:space="preserve">número de cuarenta y cuatro (44) días o más por año; 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4)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>ue no exista diferenciación entre fines de semana comunes y largos;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5) </w:t>
      </w:r>
      <w:r>
        <w:rPr>
          <w:rFonts w:ascii="Arial" w:hAnsi="Arial" w:cs="Arial"/>
          <w:sz w:val="24"/>
          <w:szCs w:val="24"/>
        </w:rPr>
        <w:t>r</w:t>
      </w:r>
      <w:r w:rsidRPr="00FD3190">
        <w:rPr>
          <w:rFonts w:ascii="Arial" w:hAnsi="Arial" w:cs="Arial"/>
          <w:sz w:val="24"/>
          <w:szCs w:val="24"/>
        </w:rPr>
        <w:t>elacionado con lo anterior, que el SGP permita incluir los días inhábiles o feriados dentro de la semana, es decir, de lunes a viernes, situación actualmente no contemplada;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6)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>ue, como regla, se elimine la obligación de consignar “el motivo” en el pedido, toda vez que al no estar vinculadas las salidas transitorias con el régimen de licencias legales y reglamentarias, su exigencia se transforma en una indebida injerencia en la esfera de la intimidad del funcionario/a o magistrado/a;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7)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 xml:space="preserve">ue, excepcionalmente, se solicite la invocación y/o acreditación de los “motivos” de la salida transitoria, para </w:t>
      </w:r>
      <w:r w:rsidRPr="00FD3190">
        <w:rPr>
          <w:rFonts w:ascii="Arial" w:hAnsi="Arial" w:cs="Arial"/>
          <w:sz w:val="24"/>
          <w:szCs w:val="24"/>
        </w:rPr>
        <w:lastRenderedPageBreak/>
        <w:t>casos en que los días correspondientes no se computen para el tope general;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8)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>ue se autorice la superación del límite previsto anualmente para casos excepcionales;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9)</w:t>
      </w:r>
      <w:r>
        <w:rPr>
          <w:rFonts w:ascii="Arial" w:hAnsi="Arial" w:cs="Arial"/>
          <w:sz w:val="24"/>
          <w:szCs w:val="24"/>
        </w:rPr>
        <w:t xml:space="preserve"> q</w:t>
      </w:r>
      <w:r w:rsidRPr="00FD3190">
        <w:rPr>
          <w:rFonts w:ascii="Arial" w:hAnsi="Arial" w:cs="Arial"/>
          <w:sz w:val="24"/>
          <w:szCs w:val="24"/>
        </w:rPr>
        <w:t>ue la salida transitoria no se compute cuando esté comprendida dentro de alguna de las licencias legales y reglamentarias, como son: por estudio, por enfermedad, gremial, cuidado de familiar enfermo, etc. En caso de licencia por estudio, si se requiere tiempo de viaje para asistir a los eventos académicos, ello no se computará como salidas transitorias;</w:t>
      </w:r>
      <w:r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10) </w:t>
      </w:r>
      <w:r>
        <w:rPr>
          <w:rFonts w:ascii="Arial" w:hAnsi="Arial" w:cs="Arial"/>
          <w:sz w:val="24"/>
          <w:szCs w:val="24"/>
        </w:rPr>
        <w:t>q</w:t>
      </w:r>
      <w:r w:rsidRPr="00FD3190">
        <w:rPr>
          <w:rFonts w:ascii="Arial" w:hAnsi="Arial" w:cs="Arial"/>
          <w:sz w:val="24"/>
          <w:szCs w:val="24"/>
        </w:rPr>
        <w:t>ue el SGP permita modificaciones una vez cargada la comunicación de salida transitoria, sea en cuanto a los días, al subrogante, etc., ya que el sistema actualmente no permite modificar los datos consignados o de</w:t>
      </w:r>
      <w:r>
        <w:rPr>
          <w:rFonts w:ascii="Arial" w:hAnsi="Arial" w:cs="Arial"/>
          <w:sz w:val="24"/>
          <w:szCs w:val="24"/>
        </w:rPr>
        <w:t xml:space="preserve">jar sin efecto la comunicación. </w:t>
      </w:r>
      <w:r>
        <w:rPr>
          <w:rFonts w:ascii="Arial" w:hAnsi="Arial" w:cs="Arial"/>
          <w:sz w:val="24"/>
          <w:szCs w:val="24"/>
          <w:lang w:val="es-ES" w:eastAsia="es-AR"/>
        </w:rPr>
        <w:t xml:space="preserve">Requerida intervención a la Comisión de Personal, la Dra. Claudia M. </w:t>
      </w:r>
      <w:proofErr w:type="spellStart"/>
      <w:r>
        <w:rPr>
          <w:rFonts w:ascii="Arial" w:hAnsi="Arial" w:cs="Arial"/>
          <w:sz w:val="24"/>
          <w:szCs w:val="24"/>
          <w:lang w:val="es-ES" w:eastAsia="es-AR"/>
        </w:rPr>
        <w:t>Mizawak</w:t>
      </w:r>
      <w:proofErr w:type="spellEnd"/>
      <w:r>
        <w:rPr>
          <w:rFonts w:ascii="Arial" w:hAnsi="Arial" w:cs="Arial"/>
          <w:sz w:val="24"/>
          <w:szCs w:val="24"/>
          <w:lang w:val="es-ES" w:eastAsia="es-AR"/>
        </w:rPr>
        <w:t xml:space="preserve"> y el Dr. Juan Ramón </w:t>
      </w:r>
      <w:proofErr w:type="spellStart"/>
      <w:r>
        <w:rPr>
          <w:rFonts w:ascii="Arial" w:hAnsi="Arial" w:cs="Arial"/>
          <w:sz w:val="24"/>
          <w:szCs w:val="24"/>
          <w:lang w:val="es-ES" w:eastAsia="es-AR"/>
        </w:rPr>
        <w:t>Smaldone</w:t>
      </w:r>
      <w:proofErr w:type="spellEnd"/>
      <w:r>
        <w:rPr>
          <w:rFonts w:ascii="Arial" w:hAnsi="Arial" w:cs="Arial"/>
          <w:sz w:val="24"/>
          <w:szCs w:val="24"/>
          <w:lang w:val="es-ES" w:eastAsia="es-AR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sugirieron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 las siguientes variaciones:</w:t>
      </w:r>
      <w:r>
        <w:rPr>
          <w:rFonts w:ascii="Arial" w:hAnsi="Arial" w:cs="Arial"/>
          <w:bCs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a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>rt. 1º: eliminar la obligación de indicar motivo del pedido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; a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 xml:space="preserve">rt. 2º: el subrogante deba aceptar tal subrogación en el SGP, para que se perfeccione la autorización 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d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>el magistrado solicitante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; a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>rt. 5º: establecer como restricción general un límite anual de</w:t>
      </w:r>
      <w:r>
        <w:rPr>
          <w:rFonts w:ascii="Arial" w:hAnsi="Arial" w:cs="Arial"/>
          <w:color w:val="000000"/>
          <w:sz w:val="24"/>
          <w:szCs w:val="24"/>
          <w:lang w:eastAsia="es-AR"/>
        </w:rPr>
        <w:t xml:space="preserve"> cuarenta y cuatro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(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>44</w:t>
      </w:r>
      <w:r>
        <w:rPr>
          <w:rFonts w:ascii="Arial" w:hAnsi="Arial" w:cs="Arial"/>
          <w:color w:val="000000"/>
          <w:sz w:val="24"/>
          <w:szCs w:val="24"/>
          <w:lang w:eastAsia="es-AR"/>
        </w:rPr>
        <w:t>)</w:t>
      </w:r>
      <w:r w:rsidRPr="00FD3190">
        <w:rPr>
          <w:rFonts w:ascii="Arial" w:hAnsi="Arial" w:cs="Arial"/>
          <w:color w:val="000000"/>
          <w:sz w:val="24"/>
          <w:szCs w:val="24"/>
          <w:lang w:eastAsia="es-AR"/>
        </w:rPr>
        <w:t xml:space="preserve"> días sin que exista diferenciación </w:t>
      </w:r>
      <w:r w:rsidRPr="00201D05">
        <w:rPr>
          <w:rFonts w:ascii="Arial" w:hAnsi="Arial" w:cs="Arial"/>
          <w:sz w:val="24"/>
          <w:szCs w:val="24"/>
          <w:lang w:eastAsia="es-AR"/>
        </w:rPr>
        <w:t xml:space="preserve">entre fines de semanas largos y comunes. Con la palabra, el señor Vocal de la Sala Nº 2 en lo Civil y Comercial, Dr. Juan R. </w:t>
      </w:r>
      <w:proofErr w:type="spellStart"/>
      <w:r w:rsidRPr="00201D05">
        <w:rPr>
          <w:rFonts w:ascii="Arial" w:hAnsi="Arial" w:cs="Arial"/>
          <w:sz w:val="24"/>
          <w:szCs w:val="24"/>
          <w:lang w:eastAsia="es-AR"/>
        </w:rPr>
        <w:t>Smaldone</w:t>
      </w:r>
      <w:proofErr w:type="spellEnd"/>
      <w:r w:rsidRPr="00201D05">
        <w:rPr>
          <w:rFonts w:ascii="Arial" w:hAnsi="Arial" w:cs="Arial"/>
          <w:sz w:val="24"/>
          <w:szCs w:val="24"/>
          <w:lang w:eastAsia="es-AR"/>
        </w:rPr>
        <w:t>, informa que la Comisión de Personal mantuvo una reunión con integrantes de la Asociación de la Magistratura, a quienes explicaron que, a su criterio, y tomando en consideración que el Régi</w:t>
      </w:r>
      <w:r>
        <w:rPr>
          <w:rFonts w:ascii="Arial" w:hAnsi="Arial" w:cs="Arial"/>
          <w:sz w:val="24"/>
          <w:szCs w:val="24"/>
          <w:lang w:eastAsia="es-AR"/>
        </w:rPr>
        <w:t xml:space="preserve">men de Licencias es amplio, lo traído a tratamiento es lo máximo que se </w:t>
      </w:r>
      <w:r w:rsidRPr="00201D05">
        <w:rPr>
          <w:rFonts w:ascii="Arial" w:hAnsi="Arial" w:cs="Arial"/>
          <w:sz w:val="24"/>
          <w:szCs w:val="24"/>
          <w:lang w:eastAsia="es-AR"/>
        </w:rPr>
        <w:t>puede</w:t>
      </w:r>
      <w:r>
        <w:rPr>
          <w:rFonts w:ascii="Arial" w:hAnsi="Arial" w:cs="Arial"/>
          <w:sz w:val="24"/>
          <w:szCs w:val="24"/>
          <w:lang w:eastAsia="es-AR"/>
        </w:rPr>
        <w:t xml:space="preserve"> proponer </w:t>
      </w:r>
      <w:r w:rsidRPr="00201D05">
        <w:rPr>
          <w:rFonts w:ascii="Arial" w:hAnsi="Arial" w:cs="Arial"/>
          <w:sz w:val="24"/>
          <w:szCs w:val="24"/>
          <w:lang w:eastAsia="es-AR"/>
        </w:rPr>
        <w:t>flexibilizar. En otro</w:t>
      </w:r>
      <w:r>
        <w:rPr>
          <w:rFonts w:ascii="Arial" w:hAnsi="Arial" w:cs="Arial"/>
          <w:color w:val="000000"/>
          <w:sz w:val="24"/>
          <w:szCs w:val="24"/>
          <w:lang w:eastAsia="es-AR"/>
        </w:rPr>
        <w:t xml:space="preserve"> orden, 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el Jefe de la Oficina de Informática, Ing. </w:t>
      </w:r>
      <w:r>
        <w:rPr>
          <w:rFonts w:ascii="Arial" w:hAnsi="Arial" w:cs="Arial"/>
          <w:color w:val="000000"/>
          <w:sz w:val="24"/>
          <w:szCs w:val="24"/>
        </w:rPr>
        <w:t xml:space="preserve">Omar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Pagliotto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elevó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 informe respe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a factibilidad </w:t>
      </w:r>
      <w:r>
        <w:rPr>
          <w:rFonts w:ascii="Arial" w:hAnsi="Arial" w:cs="Arial"/>
          <w:color w:val="000000"/>
          <w:sz w:val="24"/>
          <w:szCs w:val="24"/>
        </w:rPr>
        <w:t xml:space="preserve">de incorporar tales cambios al SGP 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Pr="00FD3190">
        <w:rPr>
          <w:rFonts w:ascii="Arial" w:hAnsi="Arial" w:cs="Arial"/>
          <w:color w:val="000000"/>
          <w:sz w:val="24"/>
          <w:szCs w:val="24"/>
        </w:rPr>
        <w:t>tiempo que</w:t>
      </w:r>
      <w:r>
        <w:rPr>
          <w:rFonts w:ascii="Arial" w:hAnsi="Arial" w:cs="Arial"/>
          <w:color w:val="000000"/>
          <w:sz w:val="24"/>
          <w:szCs w:val="24"/>
        </w:rPr>
        <w:t xml:space="preserve"> insumiría</w:t>
      </w:r>
      <w:r w:rsidRPr="00FD31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efectuar las modificaciones propuestas, computando un total de 31 horas. </w:t>
      </w:r>
      <w:r>
        <w:rPr>
          <w:rFonts w:ascii="Arial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Luego de un intercambio de opiniones; </w:t>
      </w:r>
      <w:r w:rsidRPr="00521FB4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</w:t>
      </w:r>
      <w:r>
        <w:rPr>
          <w:rFonts w:ascii="Arial" w:eastAsia="Calibri" w:hAnsi="Arial" w:cs="Arial"/>
          <w:sz w:val="24"/>
          <w:szCs w:val="24"/>
          <w:lang w:val="es-ES_tradnl"/>
        </w:rPr>
        <w:t>Aprobar</w:t>
      </w:r>
      <w:r w:rsidRPr="0038101D">
        <w:rPr>
          <w:rFonts w:ascii="Arial" w:eastAsia="Calibri" w:hAnsi="Arial" w:cs="Arial"/>
          <w:sz w:val="24"/>
          <w:szCs w:val="24"/>
          <w:lang w:val="es-ES_tradnl"/>
        </w:rPr>
        <w:t xml:space="preserve"> la propuesta de 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t>modificación del Reglamento de salidas de jurisdicción de la magistratura y el funcionaria</w:t>
      </w:r>
      <w:r>
        <w:rPr>
          <w:rFonts w:ascii="Arial" w:eastAsia="Calibri" w:hAnsi="Arial" w:cs="Arial"/>
          <w:color w:val="000000"/>
          <w:sz w:val="24"/>
          <w:szCs w:val="24"/>
        </w:rPr>
        <w:t>do judicial, de conformidad al d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t xml:space="preserve">ictamen de la Comisión de Personal y a partir de su implementación en el SGP a cargo de la Oficina de Informática del STJ, lo que será informado oportunamente. </w:t>
      </w:r>
      <w:r>
        <w:rPr>
          <w:rFonts w:ascii="Arial" w:eastAsia="Calibri" w:hAnsi="Arial" w:cs="Arial"/>
          <w:color w:val="000000"/>
          <w:sz w:val="24"/>
          <w:szCs w:val="24"/>
        </w:rPr>
        <w:t>2º) M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t xml:space="preserve">odificar los artículos 1º, 2º y 5º del mencionado Reglamento de acuerdo a las consideraciones planteadas por la Comisión. </w:t>
      </w:r>
      <w:r>
        <w:rPr>
          <w:rFonts w:ascii="Arial" w:eastAsia="Calibri" w:hAnsi="Arial" w:cs="Arial"/>
          <w:color w:val="000000"/>
          <w:sz w:val="24"/>
          <w:szCs w:val="24"/>
        </w:rPr>
        <w:t>3º) Tener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t xml:space="preserve"> presente el  informe de la Oficina de Informática respecto a la factibilidad de incorporar tales cambios al SGP y el tiempo que insumiría 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efectuar las modificaciones propuestas. </w:t>
      </w:r>
      <w:r>
        <w:rPr>
          <w:rFonts w:ascii="Arial" w:eastAsia="Calibri" w:hAnsi="Arial" w:cs="Arial"/>
          <w:color w:val="000000"/>
          <w:sz w:val="24"/>
          <w:szCs w:val="24"/>
        </w:rPr>
        <w:t>4º) N</w:t>
      </w:r>
      <w:r w:rsidRPr="0038101D">
        <w:rPr>
          <w:rFonts w:ascii="Arial" w:eastAsia="Calibri" w:hAnsi="Arial" w:cs="Arial"/>
          <w:color w:val="000000"/>
          <w:sz w:val="24"/>
          <w:szCs w:val="24"/>
        </w:rPr>
        <w:t>otificar y hace saber.-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lang w:val="es-ES"/>
        </w:rPr>
        <w:t>FDO. DRES.: CASTRILLON, CARUBIA, CARLOMAGNO, MIZAWAK, SMALDONE, GIORGIO y CARBONELL. Ante mí: ELENA SALOMÓN. SECRETARIA.-</w:t>
      </w:r>
    </w:p>
    <w:p w:rsidR="003D2EFC" w:rsidRDefault="003D2EFC" w:rsidP="003D2EFC">
      <w:pPr>
        <w:jc w:val="both"/>
      </w:pPr>
      <w:r>
        <w:tab/>
      </w:r>
      <w:r>
        <w:tab/>
      </w:r>
      <w:r>
        <w:tab/>
      </w:r>
      <w:r>
        <w:tab/>
      </w:r>
    </w:p>
    <w:p w:rsidR="003D2EFC" w:rsidRDefault="003D2EFC" w:rsidP="003D2EFC">
      <w:pPr>
        <w:jc w:val="both"/>
      </w:pPr>
    </w:p>
    <w:p w:rsidR="003D2EFC" w:rsidRDefault="003D2EFC" w:rsidP="003D2EFC">
      <w:pPr>
        <w:rPr>
          <w:rFonts w:ascii="Constantia" w:hAnsi="Constantia"/>
          <w:b/>
        </w:rPr>
      </w:pPr>
    </w:p>
    <w:p w:rsidR="003D2EFC" w:rsidRDefault="003D2EFC" w:rsidP="003D2EFC">
      <w:pPr>
        <w:tabs>
          <w:tab w:val="left" w:pos="4634"/>
        </w:tabs>
        <w:spacing w:after="0" w:line="240" w:lineRule="auto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ELENA SALOMÓN</w:t>
      </w:r>
    </w:p>
    <w:p w:rsidR="003D2EFC" w:rsidRDefault="003D2EFC" w:rsidP="003D2EFC">
      <w:pPr>
        <w:tabs>
          <w:tab w:val="left" w:pos="4634"/>
        </w:tabs>
        <w:spacing w:after="0" w:line="240" w:lineRule="auto"/>
        <w:jc w:val="center"/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sz w:val="16"/>
          <w:szCs w:val="16"/>
        </w:rPr>
        <w:t>SECRETARIA</w:t>
      </w:r>
    </w:p>
    <w:p w:rsidR="003D2EFC" w:rsidRDefault="003D2EFC" w:rsidP="003D2EFC">
      <w:pPr>
        <w:tabs>
          <w:tab w:val="left" w:pos="4634"/>
        </w:tabs>
        <w:spacing w:after="0" w:line="240" w:lineRule="auto"/>
        <w:jc w:val="center"/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sz w:val="16"/>
          <w:szCs w:val="16"/>
        </w:rPr>
        <w:t>SUPERIOR TRIBUNAL DE JUSTICIA</w:t>
      </w:r>
    </w:p>
    <w:p w:rsidR="003D2EFC" w:rsidRDefault="003D2EFC" w:rsidP="003D2EFC">
      <w:pPr>
        <w:tabs>
          <w:tab w:val="left" w:pos="4634"/>
        </w:tabs>
        <w:spacing w:after="0" w:line="240" w:lineRule="auto"/>
        <w:jc w:val="both"/>
      </w:pPr>
    </w:p>
    <w:p w:rsidR="003D2EFC" w:rsidRDefault="003D2EFC" w:rsidP="003D2EFC">
      <w:pPr>
        <w:tabs>
          <w:tab w:val="left" w:pos="4634"/>
        </w:tabs>
        <w:jc w:val="both"/>
      </w:pPr>
    </w:p>
    <w:p w:rsidR="003D2EFC" w:rsidRDefault="003D2EFC" w:rsidP="003D2EFC">
      <w:pPr>
        <w:tabs>
          <w:tab w:val="left" w:pos="46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Of. </w:t>
      </w:r>
      <w:proofErr w:type="spellStart"/>
      <w:proofErr w:type="gramStart"/>
      <w:r>
        <w:rPr>
          <w:rFonts w:ascii="Arial" w:hAnsi="Arial" w:cs="Arial"/>
          <w:b/>
        </w:rPr>
        <w:t>ac</w:t>
      </w:r>
      <w:proofErr w:type="spellEnd"/>
      <w:proofErr w:type="gramEnd"/>
    </w:p>
    <w:p w:rsidR="003D2EFC" w:rsidRPr="00AF3257" w:rsidRDefault="003D2EFC" w:rsidP="003D2EF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es-AR"/>
        </w:rPr>
      </w:pPr>
    </w:p>
    <w:p w:rsidR="003D2EFC" w:rsidRDefault="003D2EFC"/>
    <w:sectPr w:rsidR="003D2EFC" w:rsidSect="00CE1658">
      <w:pgSz w:w="11906" w:h="16838"/>
      <w:pgMar w:top="2438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2EFC"/>
    <w:rsid w:val="003575B7"/>
    <w:rsid w:val="003D2EFC"/>
    <w:rsid w:val="00543400"/>
    <w:rsid w:val="0061046A"/>
    <w:rsid w:val="0082373B"/>
    <w:rsid w:val="00A15158"/>
    <w:rsid w:val="00B50E57"/>
    <w:rsid w:val="00C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F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Acuerdos</dc:creator>
  <cp:lastModifiedBy>Oficina de Acuerdos</cp:lastModifiedBy>
  <cp:revision>2</cp:revision>
  <dcterms:created xsi:type="dcterms:W3CDTF">2022-08-23T11:13:00Z</dcterms:created>
  <dcterms:modified xsi:type="dcterms:W3CDTF">2022-08-23T11:49:00Z</dcterms:modified>
</cp:coreProperties>
</file>