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2D0" w:rsidRDefault="001E22D0" w:rsidP="001E22D0">
      <w:pPr>
        <w:pStyle w:val="Cuerpo"/>
        <w:spacing w:after="0" w:line="360" w:lineRule="auto"/>
        <w:jc w:val="center"/>
        <w:rPr>
          <w:rFonts w:ascii="Arial" w:eastAsia="Times New Roman" w:hAnsi="Arial" w:cs="Arial"/>
          <w:b/>
          <w:bCs/>
          <w:color w:val="222222"/>
          <w:sz w:val="24"/>
          <w:szCs w:val="24"/>
          <w:u w:val="single"/>
        </w:rPr>
      </w:pPr>
      <w:r>
        <w:rPr>
          <w:noProof/>
        </w:rPr>
        <w:drawing>
          <wp:inline distT="0" distB="0" distL="0" distR="0" wp14:anchorId="3BFD14B2" wp14:editId="770FD165">
            <wp:extent cx="962025" cy="904875"/>
            <wp:effectExtent l="0" t="0" r="9525" b="952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Poder Judicia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62599" cy="905415"/>
                    </a:xfrm>
                    <a:prstGeom prst="rect">
                      <a:avLst/>
                    </a:prstGeom>
                  </pic:spPr>
                </pic:pic>
              </a:graphicData>
            </a:graphic>
          </wp:inline>
        </w:drawing>
      </w:r>
    </w:p>
    <w:p w:rsidR="001E22D0" w:rsidRDefault="001E22D0" w:rsidP="001E22D0">
      <w:pPr>
        <w:pStyle w:val="Cuerpo"/>
        <w:spacing w:after="0" w:line="360" w:lineRule="auto"/>
        <w:jc w:val="center"/>
        <w:rPr>
          <w:rFonts w:ascii="Arial" w:eastAsia="Times New Roman" w:hAnsi="Arial" w:cs="Arial"/>
          <w:b/>
          <w:bCs/>
          <w:color w:val="222222"/>
          <w:sz w:val="24"/>
          <w:szCs w:val="24"/>
          <w:u w:val="single"/>
        </w:rPr>
      </w:pPr>
    </w:p>
    <w:p w:rsidR="001E22D0" w:rsidRDefault="001E22D0" w:rsidP="001E22D0">
      <w:pPr>
        <w:pStyle w:val="Cuerpo"/>
        <w:spacing w:after="0" w:line="360" w:lineRule="auto"/>
        <w:jc w:val="center"/>
        <w:rPr>
          <w:rFonts w:ascii="Arial" w:eastAsia="Times New Roman" w:hAnsi="Arial" w:cs="Arial"/>
          <w:b/>
          <w:bCs/>
          <w:color w:val="222222"/>
          <w:sz w:val="24"/>
          <w:szCs w:val="24"/>
          <w:u w:val="single"/>
        </w:rPr>
      </w:pPr>
    </w:p>
    <w:p w:rsidR="001E22D0" w:rsidRDefault="001E22D0" w:rsidP="001E22D0">
      <w:pPr>
        <w:pStyle w:val="Cuerpo"/>
        <w:spacing w:after="0" w:line="360" w:lineRule="auto"/>
        <w:jc w:val="both"/>
        <w:rPr>
          <w:rStyle w:val="Ninguno"/>
          <w:rFonts w:ascii="Arial" w:hAnsi="Arial"/>
          <w:bCs/>
          <w:sz w:val="24"/>
          <w:szCs w:val="24"/>
        </w:rPr>
      </w:pPr>
      <w:r w:rsidRPr="00D86580">
        <w:rPr>
          <w:rFonts w:ascii="Arial" w:eastAsia="Times New Roman" w:hAnsi="Arial" w:cs="Arial"/>
          <w:b/>
          <w:bCs/>
          <w:color w:val="222222"/>
          <w:sz w:val="24"/>
          <w:szCs w:val="24"/>
          <w:u w:val="single"/>
        </w:rPr>
        <w:t>SE DEJA CONSTANCIA</w:t>
      </w:r>
      <w:r w:rsidRPr="00D86580">
        <w:rPr>
          <w:rFonts w:ascii="Arial" w:eastAsia="Times New Roman" w:hAnsi="Arial" w:cs="Arial"/>
          <w:color w:val="222222"/>
          <w:sz w:val="24"/>
          <w:szCs w:val="24"/>
        </w:rPr>
        <w:t xml:space="preserve">: Que el Superior Tribunal de Justicia, reunido en Acuerdo </w:t>
      </w:r>
      <w:r>
        <w:rPr>
          <w:rFonts w:ascii="Arial" w:eastAsia="Times New Roman" w:hAnsi="Arial" w:cs="Arial"/>
          <w:color w:val="222222"/>
          <w:sz w:val="24"/>
          <w:szCs w:val="24"/>
        </w:rPr>
        <w:t xml:space="preserve">Especial celebrado el día </w:t>
      </w:r>
      <w:r>
        <w:rPr>
          <w:rFonts w:ascii="Arial" w:eastAsia="Times New Roman" w:hAnsi="Arial" w:cs="Arial"/>
          <w:color w:val="222222"/>
          <w:sz w:val="24"/>
          <w:szCs w:val="24"/>
        </w:rPr>
        <w:t>20 de abril</w:t>
      </w:r>
      <w:r>
        <w:rPr>
          <w:rFonts w:ascii="Arial" w:eastAsia="Times New Roman" w:hAnsi="Arial" w:cs="Arial"/>
          <w:color w:val="222222"/>
          <w:sz w:val="24"/>
          <w:szCs w:val="24"/>
        </w:rPr>
        <w:t xml:space="preserve"> del 2020</w:t>
      </w:r>
      <w:r w:rsidRPr="00D86580">
        <w:rPr>
          <w:rFonts w:ascii="Arial" w:eastAsia="Times New Roman" w:hAnsi="Arial" w:cs="Arial"/>
          <w:color w:val="222222"/>
          <w:sz w:val="24"/>
          <w:szCs w:val="24"/>
        </w:rPr>
        <w:t>,</w:t>
      </w:r>
      <w:r>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considerando </w:t>
      </w:r>
      <w:r>
        <w:rPr>
          <w:rStyle w:val="Ninguno"/>
          <w:rFonts w:ascii="Arial" w:hAnsi="Arial"/>
          <w:sz w:val="24"/>
          <w:szCs w:val="24"/>
          <w:lang w:val="es-ES_tradnl"/>
        </w:rPr>
        <w:t>el Decreto de Necesidad y Urgencia N° 297/20 del Gobierno Nacional</w:t>
      </w:r>
      <w:r>
        <w:rPr>
          <w:rStyle w:val="Ninguno"/>
          <w:rFonts w:ascii="Arial" w:hAnsi="Arial"/>
          <w:sz w:val="24"/>
          <w:szCs w:val="24"/>
          <w:lang w:val="es-ES_tradnl"/>
        </w:rPr>
        <w:t xml:space="preserve"> -</w:t>
      </w:r>
      <w:r>
        <w:rPr>
          <w:rStyle w:val="Ninguno"/>
          <w:rFonts w:ascii="Arial" w:hAnsi="Arial"/>
          <w:sz w:val="24"/>
          <w:szCs w:val="24"/>
          <w:lang w:val="es-ES_tradnl"/>
        </w:rPr>
        <w:t xml:space="preserve">prorrogado por DNU N° </w:t>
      </w:r>
      <w:r w:rsidRPr="00361CE4">
        <w:rPr>
          <w:rStyle w:val="Ninguno"/>
          <w:rFonts w:ascii="Arial" w:hAnsi="Arial"/>
          <w:color w:val="auto"/>
          <w:sz w:val="24"/>
          <w:szCs w:val="24"/>
          <w:lang w:val="es-ES_tradnl"/>
        </w:rPr>
        <w:t>325/20</w:t>
      </w:r>
      <w:r>
        <w:rPr>
          <w:rStyle w:val="Ninguno"/>
          <w:rFonts w:ascii="Arial" w:hAnsi="Arial"/>
          <w:color w:val="auto"/>
          <w:sz w:val="24"/>
          <w:szCs w:val="24"/>
          <w:lang w:val="es-ES_tradnl"/>
        </w:rPr>
        <w:t xml:space="preserve"> y</w:t>
      </w:r>
      <w:r w:rsidRPr="0082678A">
        <w:rPr>
          <w:rStyle w:val="Ninguno"/>
          <w:rFonts w:ascii="Arial" w:hAnsi="Arial"/>
          <w:color w:val="auto"/>
          <w:sz w:val="24"/>
          <w:szCs w:val="24"/>
          <w:lang w:val="es-ES_tradnl"/>
        </w:rPr>
        <w:t xml:space="preserve"> N° </w:t>
      </w:r>
      <w:r w:rsidRPr="0082678A">
        <w:rPr>
          <w:rStyle w:val="Ninguno"/>
          <w:rFonts w:ascii="Arial" w:hAnsi="Arial"/>
          <w:color w:val="auto"/>
          <w:sz w:val="24"/>
          <w:szCs w:val="24"/>
        </w:rPr>
        <w:t>355/20</w:t>
      </w:r>
      <w:r>
        <w:rPr>
          <w:rStyle w:val="Ninguno"/>
          <w:rFonts w:ascii="Arial" w:hAnsi="Arial"/>
          <w:color w:val="auto"/>
          <w:sz w:val="24"/>
          <w:szCs w:val="24"/>
        </w:rPr>
        <w:t>-</w:t>
      </w:r>
      <w:r w:rsidRPr="0082678A">
        <w:rPr>
          <w:rStyle w:val="Ninguno"/>
          <w:rFonts w:ascii="Arial" w:hAnsi="Arial"/>
          <w:color w:val="auto"/>
          <w:sz w:val="24"/>
          <w:szCs w:val="24"/>
        </w:rPr>
        <w:t xml:space="preserve"> </w:t>
      </w:r>
      <w:r>
        <w:rPr>
          <w:rStyle w:val="Ninguno"/>
          <w:rFonts w:ascii="Arial" w:hAnsi="Arial"/>
          <w:sz w:val="24"/>
          <w:szCs w:val="24"/>
          <w:lang w:val="es-ES_tradnl"/>
        </w:rPr>
        <w:t xml:space="preserve">el cual estableció entre las excepciones </w:t>
      </w:r>
      <w:r>
        <w:rPr>
          <w:rStyle w:val="Ninguno"/>
          <w:rFonts w:ascii="Arial" w:hAnsi="Arial"/>
          <w:sz w:val="24"/>
          <w:szCs w:val="24"/>
          <w:lang w:val="es-ES_tradnl"/>
        </w:rPr>
        <w:t>del</w:t>
      </w:r>
      <w:r>
        <w:rPr>
          <w:rStyle w:val="Ninguno"/>
          <w:rFonts w:ascii="Arial" w:hAnsi="Arial"/>
          <w:sz w:val="24"/>
          <w:szCs w:val="24"/>
          <w:lang w:val="es-ES_tradnl"/>
        </w:rPr>
        <w:t xml:space="preserve"> aislamiento social obligatorio al personal de los servicios de justicia de turno, conforme establezcan las autoridades competentes (cfr. Art. 6° </w:t>
      </w:r>
      <w:r>
        <w:rPr>
          <w:rStyle w:val="Ninguno"/>
          <w:rFonts w:ascii="Arial" w:hAnsi="Arial"/>
          <w:sz w:val="24"/>
          <w:szCs w:val="24"/>
        </w:rPr>
        <w:t>inc. 3)</w:t>
      </w:r>
      <w:r>
        <w:rPr>
          <w:rStyle w:val="Ninguno"/>
          <w:rFonts w:ascii="Arial" w:hAnsi="Arial"/>
          <w:sz w:val="24"/>
          <w:szCs w:val="24"/>
        </w:rPr>
        <w:t>, y los informes acompañados por las Áreas Técnicas</w:t>
      </w:r>
      <w:r>
        <w:rPr>
          <w:rStyle w:val="Ninguno"/>
          <w:rFonts w:ascii="Arial" w:hAnsi="Arial"/>
          <w:sz w:val="24"/>
          <w:szCs w:val="24"/>
          <w:lang w:val="es-ES_tradnl"/>
        </w:rPr>
        <w:t xml:space="preserve">, </w:t>
      </w:r>
      <w:r>
        <w:rPr>
          <w:rStyle w:val="Ninguno"/>
          <w:rFonts w:ascii="Arial" w:hAnsi="Arial"/>
          <w:sz w:val="24"/>
          <w:szCs w:val="24"/>
          <w:lang w:val="es-ES_tradnl"/>
        </w:rPr>
        <w:t>en rel</w:t>
      </w:r>
      <w:r>
        <w:rPr>
          <w:rStyle w:val="Ninguno"/>
          <w:rFonts w:ascii="Arial" w:hAnsi="Arial"/>
          <w:sz w:val="24"/>
          <w:szCs w:val="24"/>
          <w:lang w:val="es-ES_tradnl"/>
        </w:rPr>
        <w:t>ación con el Punto 1°) resolvió por mayoría:</w:t>
      </w:r>
      <w:r>
        <w:rPr>
          <w:rStyle w:val="Ninguno"/>
          <w:rFonts w:ascii="Arial" w:hAnsi="Arial"/>
          <w:sz w:val="24"/>
          <w:szCs w:val="24"/>
          <w:lang w:val="es-ES_tradnl"/>
        </w:rPr>
        <w:t xml:space="preserve"> </w:t>
      </w:r>
      <w:r>
        <w:rPr>
          <w:rStyle w:val="Ninguno"/>
          <w:rFonts w:ascii="Arial" w:hAnsi="Arial"/>
          <w:b/>
          <w:sz w:val="24"/>
          <w:szCs w:val="24"/>
          <w:lang w:val="es-ES_tradnl"/>
        </w:rPr>
        <w:t>1°</w:t>
      </w:r>
      <w:r w:rsidRPr="00283D74">
        <w:rPr>
          <w:rStyle w:val="Ninguno"/>
          <w:rFonts w:ascii="Arial" w:hAnsi="Arial"/>
          <w:b/>
          <w:bCs/>
          <w:sz w:val="24"/>
          <w:szCs w:val="24"/>
          <w:lang w:val="es-ES_tradnl"/>
        </w:rPr>
        <w:t>)</w:t>
      </w:r>
      <w:r w:rsidRPr="008C0D67">
        <w:rPr>
          <w:rStyle w:val="Ninguno"/>
          <w:rFonts w:ascii="Arial" w:hAnsi="Arial"/>
          <w:b/>
          <w:bCs/>
          <w:sz w:val="24"/>
          <w:szCs w:val="24"/>
          <w:lang w:val="es-ES_tradnl"/>
        </w:rPr>
        <w:t xml:space="preserve"> PRORROGAR</w:t>
      </w:r>
      <w:r>
        <w:rPr>
          <w:rStyle w:val="Ninguno"/>
          <w:rFonts w:ascii="Arial" w:hAnsi="Arial"/>
          <w:sz w:val="24"/>
          <w:szCs w:val="24"/>
          <w:lang w:val="es-ES_tradnl"/>
        </w:rPr>
        <w:t xml:space="preserve"> la modalidad de funcionamiento dispuesta por Acuerdo Especial de fecha 08.04.20 Punto 1°) – la de sus Anexos I, II, III y IV (aprobado por Resolución del Tribunal de Superintendencia N° 28/20) y resoluciones ss. y cc.- desde el 21.04.20 hasta </w:t>
      </w:r>
      <w:r w:rsidRPr="001E22D0">
        <w:rPr>
          <w:rStyle w:val="Ninguno"/>
          <w:rFonts w:ascii="Arial" w:hAnsi="Arial"/>
          <w:sz w:val="24"/>
          <w:szCs w:val="24"/>
          <w:lang w:val="es-ES_tradnl"/>
        </w:rPr>
        <w:t>el 27.04.20 a las 24 hs. inclusive</w:t>
      </w:r>
      <w:r>
        <w:rPr>
          <w:rStyle w:val="Ninguno"/>
          <w:rFonts w:ascii="Arial" w:hAnsi="Arial"/>
          <w:sz w:val="24"/>
          <w:szCs w:val="24"/>
          <w:lang w:val="es-ES_tradnl"/>
        </w:rPr>
        <w:t>, disponiendo la actividad de todos los organismos judiciales y administrativos, con personal mínimo y con idénticos lineamientos y pautas funcionales.</w:t>
      </w:r>
      <w:r>
        <w:rPr>
          <w:rStyle w:val="Ninguno"/>
          <w:rFonts w:ascii="Arial" w:hAnsi="Arial"/>
          <w:sz w:val="24"/>
          <w:szCs w:val="24"/>
          <w:lang w:val="es-ES_tradnl"/>
        </w:rPr>
        <w:t xml:space="preserve"> </w:t>
      </w:r>
      <w:r>
        <w:rPr>
          <w:rStyle w:val="Ninguno"/>
          <w:rFonts w:ascii="Arial" w:hAnsi="Arial"/>
          <w:b/>
          <w:bCs/>
          <w:sz w:val="24"/>
          <w:szCs w:val="24"/>
          <w:lang w:val="es-ES_tradnl"/>
        </w:rPr>
        <w:t>2°)</w:t>
      </w:r>
      <w:r w:rsidRPr="008C0D67">
        <w:rPr>
          <w:rStyle w:val="Ninguno"/>
          <w:rFonts w:ascii="Arial" w:hAnsi="Arial"/>
          <w:b/>
          <w:bCs/>
          <w:sz w:val="24"/>
          <w:szCs w:val="24"/>
          <w:lang w:val="es-ES_tradnl"/>
        </w:rPr>
        <w:t xml:space="preserve"> DISPONER </w:t>
      </w:r>
      <w:r>
        <w:rPr>
          <w:rStyle w:val="Ninguno"/>
          <w:rFonts w:ascii="Arial" w:hAnsi="Arial"/>
          <w:b/>
          <w:bCs/>
          <w:sz w:val="24"/>
          <w:szCs w:val="24"/>
          <w:lang w:val="es-ES_tradnl"/>
        </w:rPr>
        <w:t>l</w:t>
      </w:r>
      <w:r>
        <w:rPr>
          <w:rStyle w:val="Ninguno"/>
          <w:rFonts w:ascii="Arial" w:hAnsi="Arial"/>
          <w:sz w:val="24"/>
          <w:szCs w:val="24"/>
          <w:lang w:val="es-ES_tradnl"/>
        </w:rPr>
        <w:t xml:space="preserve">a suspensión de todos los plazos procesales y de los cursos de perención y caducidad hasta el 27.04.20 inclusive, sin perjuicio de la validez de los actos que se dicten, los que deberán ser notificados por el SNE o mediante el mecanismo que el organismo venga utilizando, privilegiando las vías digitales y sin perjuicio de la suspensión de plazos, quedando su cómputo sujeto a la rehabilitación de los mismos.  </w:t>
      </w:r>
      <w:r w:rsidRPr="00B41A59">
        <w:rPr>
          <w:rStyle w:val="Ninguno"/>
          <w:rFonts w:ascii="Arial" w:hAnsi="Arial"/>
          <w:b/>
          <w:bCs/>
          <w:sz w:val="24"/>
          <w:szCs w:val="24"/>
          <w:lang w:val="es-ES_tradnl"/>
        </w:rPr>
        <w:t xml:space="preserve">3°) </w:t>
      </w:r>
      <w:r>
        <w:rPr>
          <w:rStyle w:val="Ninguno"/>
          <w:rFonts w:ascii="Arial" w:hAnsi="Arial"/>
          <w:b/>
          <w:bCs/>
          <w:sz w:val="24"/>
          <w:szCs w:val="24"/>
          <w:lang w:val="es-ES_tradnl"/>
        </w:rPr>
        <w:t xml:space="preserve">EXCLUIR </w:t>
      </w:r>
      <w:r>
        <w:rPr>
          <w:rStyle w:val="Ninguno"/>
          <w:rFonts w:ascii="Arial" w:hAnsi="Arial"/>
          <w:sz w:val="24"/>
          <w:szCs w:val="24"/>
          <w:lang w:val="es-ES_tradnl"/>
        </w:rPr>
        <w:t xml:space="preserve">de la medida dispuesta en el párrafo precedente, a la tramitación de amparos, medidas cautelares, actuaciones de protección de personas, órdenes de protección y cualquier medida cautelar sobre violencia contra la mujer, niñas, niños o adolescentes, y cualquier otra actuación judicial que, de no practicarse, pueda causar perjuicio irreparable. </w:t>
      </w:r>
      <w:r>
        <w:rPr>
          <w:rStyle w:val="Ninguno"/>
          <w:rFonts w:ascii="Arial" w:hAnsi="Arial"/>
          <w:b/>
          <w:bCs/>
          <w:sz w:val="24"/>
          <w:szCs w:val="24"/>
          <w:lang w:val="es-ES_tradnl"/>
        </w:rPr>
        <w:t xml:space="preserve">4°) POSPONER </w:t>
      </w:r>
      <w:r w:rsidRPr="005810B0">
        <w:rPr>
          <w:rStyle w:val="Ninguno"/>
          <w:rFonts w:ascii="Arial" w:hAnsi="Arial"/>
          <w:sz w:val="24"/>
          <w:szCs w:val="24"/>
          <w:lang w:val="es-ES_tradnl"/>
        </w:rPr>
        <w:t>hasta el 27 de abril</w:t>
      </w:r>
      <w:r>
        <w:rPr>
          <w:rStyle w:val="Ninguno"/>
          <w:rFonts w:ascii="Arial" w:hAnsi="Arial"/>
          <w:b/>
          <w:bCs/>
          <w:sz w:val="24"/>
          <w:szCs w:val="24"/>
          <w:lang w:val="es-ES_tradnl"/>
        </w:rPr>
        <w:t xml:space="preserve"> </w:t>
      </w:r>
      <w:r w:rsidRPr="005810B0">
        <w:rPr>
          <w:rStyle w:val="Ninguno"/>
          <w:rFonts w:ascii="Arial" w:hAnsi="Arial"/>
          <w:sz w:val="24"/>
          <w:szCs w:val="24"/>
          <w:lang w:val="es-ES_tradnl"/>
        </w:rPr>
        <w:t>del 2020 el comienzo del uso obligatorio de la orden de pago electrónica, sin perjuicio de la validez de todas aquellas que libren los organismos judiciales en la medida en que reciban las credenciales para operar el mismo. Comunicar al Nuevo Banco de Entre Ríos S.A.</w:t>
      </w:r>
      <w:r>
        <w:rPr>
          <w:rStyle w:val="Ninguno"/>
          <w:rFonts w:ascii="Arial" w:hAnsi="Arial"/>
          <w:sz w:val="24"/>
          <w:szCs w:val="24"/>
          <w:lang w:val="es-ES_tradnl"/>
        </w:rPr>
        <w:t xml:space="preserve"> a fin de que </w:t>
      </w:r>
      <w:r>
        <w:rPr>
          <w:rStyle w:val="Ninguno"/>
          <w:rFonts w:ascii="Arial" w:hAnsi="Arial"/>
          <w:sz w:val="24"/>
          <w:szCs w:val="24"/>
          <w:lang w:val="es-ES_tradnl"/>
        </w:rPr>
        <w:lastRenderedPageBreak/>
        <w:t xml:space="preserve">adopte de manera inaplazable las medidas necesarias para garantizar su plena operatividad a partir de dicha fecha. </w:t>
      </w:r>
      <w:r>
        <w:rPr>
          <w:rStyle w:val="Ninguno"/>
          <w:rFonts w:ascii="Arial" w:hAnsi="Arial"/>
          <w:bCs/>
          <w:sz w:val="24"/>
          <w:szCs w:val="24"/>
          <w:lang w:val="es-ES_tradnl"/>
        </w:rPr>
        <w:t>Finalmente, ordenó comunicar.-</w:t>
      </w:r>
    </w:p>
    <w:p w:rsidR="001E22D0" w:rsidRDefault="001E22D0" w:rsidP="001E22D0">
      <w:pPr>
        <w:pStyle w:val="Cuerpo"/>
        <w:spacing w:after="0" w:line="360" w:lineRule="auto"/>
        <w:jc w:val="both"/>
        <w:rPr>
          <w:rStyle w:val="Ninguno"/>
          <w:rFonts w:ascii="Arial" w:hAnsi="Arial"/>
          <w:bCs/>
          <w:sz w:val="24"/>
          <w:szCs w:val="24"/>
        </w:rPr>
      </w:pPr>
      <w:r>
        <w:rPr>
          <w:rStyle w:val="Ninguno"/>
          <w:rFonts w:ascii="Arial" w:hAnsi="Arial"/>
          <w:bCs/>
          <w:sz w:val="24"/>
          <w:szCs w:val="24"/>
        </w:rPr>
        <w:tab/>
      </w:r>
      <w:r>
        <w:rPr>
          <w:rStyle w:val="Ninguno"/>
          <w:rFonts w:ascii="Arial" w:hAnsi="Arial"/>
          <w:bCs/>
          <w:sz w:val="24"/>
          <w:szCs w:val="24"/>
        </w:rPr>
        <w:tab/>
      </w:r>
      <w:r>
        <w:rPr>
          <w:rStyle w:val="Ninguno"/>
          <w:rFonts w:ascii="Arial" w:hAnsi="Arial"/>
          <w:bCs/>
          <w:sz w:val="24"/>
          <w:szCs w:val="24"/>
        </w:rPr>
        <w:tab/>
      </w:r>
      <w:r>
        <w:rPr>
          <w:rStyle w:val="Ninguno"/>
          <w:rFonts w:ascii="Arial" w:hAnsi="Arial"/>
          <w:bCs/>
          <w:sz w:val="24"/>
          <w:szCs w:val="24"/>
        </w:rPr>
        <w:tab/>
        <w:t>SECRETARIA, 20 de abril de 2020.-</w:t>
      </w:r>
    </w:p>
    <w:p w:rsidR="001E22D0" w:rsidRDefault="001E22D0" w:rsidP="001E22D0">
      <w:pPr>
        <w:pStyle w:val="Cuerpo"/>
        <w:spacing w:after="0" w:line="360" w:lineRule="auto"/>
        <w:jc w:val="both"/>
        <w:rPr>
          <w:rStyle w:val="Ninguno"/>
          <w:rFonts w:ascii="Arial" w:hAnsi="Arial"/>
          <w:bCs/>
          <w:sz w:val="24"/>
          <w:szCs w:val="24"/>
        </w:rPr>
      </w:pPr>
    </w:p>
    <w:p w:rsidR="001E22D0" w:rsidRPr="001E22D0" w:rsidRDefault="001E22D0" w:rsidP="001E22D0">
      <w:pPr>
        <w:pStyle w:val="Cuerpo"/>
        <w:spacing w:after="0" w:line="360" w:lineRule="auto"/>
        <w:jc w:val="both"/>
        <w:rPr>
          <w:rStyle w:val="Ninguno"/>
          <w:rFonts w:ascii="Arial" w:hAnsi="Arial"/>
          <w:sz w:val="24"/>
          <w:szCs w:val="24"/>
        </w:rPr>
      </w:pPr>
      <w:bookmarkStart w:id="0" w:name="_GoBack"/>
      <w:bookmarkEnd w:id="0"/>
    </w:p>
    <w:p w:rsidR="00855268" w:rsidRDefault="001E22D0" w:rsidP="001E22D0">
      <w:pPr>
        <w:jc w:val="center"/>
      </w:pPr>
      <w:r>
        <w:rPr>
          <w:noProof/>
          <w:lang w:eastAsia="es-AR"/>
        </w:rPr>
        <w:drawing>
          <wp:inline distT="0" distB="0" distL="0" distR="0" wp14:anchorId="031D6706" wp14:editId="1A05F346">
            <wp:extent cx="2419350" cy="175260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9350" cy="1752600"/>
                    </a:xfrm>
                    <a:prstGeom prst="rect">
                      <a:avLst/>
                    </a:prstGeom>
                    <a:noFill/>
                    <a:ln>
                      <a:noFill/>
                    </a:ln>
                  </pic:spPr>
                </pic:pic>
              </a:graphicData>
            </a:graphic>
          </wp:inline>
        </w:drawing>
      </w:r>
    </w:p>
    <w:sectPr w:rsidR="008552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2D0"/>
    <w:rsid w:val="001E22D0"/>
    <w:rsid w:val="0085526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BA6D1-7D95-4A46-A252-141A490B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1E22D0"/>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s-AR"/>
      <w14:textOutline w14:w="0" w14:cap="flat" w14:cmpd="sng" w14:algn="ctr">
        <w14:noFill/>
        <w14:prstDash w14:val="solid"/>
        <w14:bevel/>
      </w14:textOutline>
    </w:rPr>
  </w:style>
  <w:style w:type="character" w:customStyle="1" w:styleId="Ninguno">
    <w:name w:val="Ninguno"/>
    <w:rsid w:val="001E2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351</Words>
  <Characters>1931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2020-04-20T22:11:00Z</dcterms:created>
  <dcterms:modified xsi:type="dcterms:W3CDTF">2020-04-20T22:24:00Z</dcterms:modified>
</cp:coreProperties>
</file>