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44" w:rsidRPr="00695344" w:rsidRDefault="00695344" w:rsidP="00695344">
      <w:pPr>
        <w:pStyle w:val="Cuerpo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D8658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SE DEJA CONSTANCIA</w:t>
      </w:r>
      <w:r w:rsidRPr="00D86580">
        <w:rPr>
          <w:rFonts w:ascii="Arial" w:eastAsia="Times New Roman" w:hAnsi="Arial" w:cs="Arial"/>
          <w:color w:val="222222"/>
          <w:sz w:val="24"/>
          <w:szCs w:val="24"/>
        </w:rPr>
        <w:t xml:space="preserve">: Que el Superior Tribunal de Justicia, reunido en Acuerdo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Especial celebrado el día </w:t>
      </w:r>
      <w:r>
        <w:rPr>
          <w:rFonts w:ascii="Arial" w:eastAsia="Times New Roman" w:hAnsi="Arial" w:cs="Arial"/>
          <w:color w:val="222222"/>
          <w:sz w:val="24"/>
          <w:szCs w:val="24"/>
        </w:rPr>
        <w:t>08 de abril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del 2020</w:t>
      </w:r>
      <w:r w:rsidRPr="00D86580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considerando l</w:t>
      </w:r>
      <w:r w:rsidRPr="00695344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o dispuesto por Acuerdo Especial del 30.03.20</w:t>
      </w:r>
      <w:r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 xml:space="preserve">, </w:t>
      </w:r>
      <w:r w:rsidRPr="00695344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primera prórroga de la cuarentena del receso judicial obligatorio</w:t>
      </w:r>
      <w:r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,</w:t>
      </w:r>
      <w:r w:rsidRPr="00695344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 xml:space="preserve"> ordenada mediante Acuerdo Especial del 15.03.20 y</w:t>
      </w:r>
      <w:r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 xml:space="preserve"> </w:t>
      </w:r>
      <w:r w:rsidRPr="00695344"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que la mencionada prórroga se encuentra pró</w:t>
      </w:r>
      <w:r>
        <w:rPr>
          <w:rFonts w:ascii="Arial" w:eastAsia="Times New Roman" w:hAnsi="Arial" w:cs="Arial"/>
          <w:color w:val="222222"/>
          <w:sz w:val="24"/>
          <w:szCs w:val="24"/>
          <w:lang w:val="es-ES_tradnl"/>
        </w:rPr>
        <w:t>xima a vencer</w:t>
      </w:r>
      <w:r>
        <w:rPr>
          <w:rStyle w:val="Ninguno"/>
          <w:rFonts w:ascii="Arial" w:hAnsi="Arial"/>
          <w:sz w:val="24"/>
          <w:szCs w:val="24"/>
          <w:lang w:val="es-ES_tradnl"/>
        </w:rPr>
        <w:t>; en relación con el Punto 1°) resolvió –en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tre otras cuestiones-: </w:t>
      </w:r>
      <w:r w:rsidRPr="00695344">
        <w:rPr>
          <w:rFonts w:ascii="Arial" w:eastAsia="Arial Unicode MS" w:hAnsi="Arial" w:cs="Arial Unicode MS"/>
          <w:b/>
          <w:bCs/>
          <w:sz w:val="24"/>
          <w:szCs w:val="24"/>
          <w:lang w:val="es-ES_tradnl"/>
        </w:rPr>
        <w:t xml:space="preserve">IMPLEMENTAR 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>una nueva etapa de funcionamiento en</w:t>
      </w:r>
      <w:r w:rsidRPr="00695344">
        <w:rPr>
          <w:rFonts w:ascii="Arial" w:eastAsia="Arial Unicode MS" w:hAnsi="Arial" w:cs="Arial Unicode MS"/>
          <w:sz w:val="24"/>
          <w:szCs w:val="24"/>
          <w:lang w:val="pt-PT"/>
        </w:rPr>
        <w:t xml:space="preserve"> 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 xml:space="preserve">el Poder Judicial de Entre Ríos bajo la modalidad </w:t>
      </w:r>
      <w:r w:rsidRPr="00695344">
        <w:rPr>
          <w:rFonts w:ascii="Arial" w:eastAsia="Arial Unicode MS" w:hAnsi="Arial" w:cs="Arial Unicode MS"/>
          <w:b/>
          <w:bCs/>
          <w:sz w:val="24"/>
          <w:szCs w:val="24"/>
          <w:lang w:val="es-ES_tradnl"/>
        </w:rPr>
        <w:t>de tribunal a puertas cerradas</w:t>
      </w:r>
      <w:r w:rsidRPr="00695344">
        <w:rPr>
          <w:rFonts w:ascii="Arial" w:eastAsia="Arial Unicode MS" w:hAnsi="Arial" w:cs="Arial Unicode MS"/>
          <w:sz w:val="24"/>
          <w:szCs w:val="24"/>
          <w:lang w:val="pt-PT"/>
        </w:rPr>
        <w:t xml:space="preserve">, 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 xml:space="preserve">disponiendo la actividad de todos los organismos, judiciales y administrativos, </w:t>
      </w:r>
      <w:r w:rsidRPr="00695344">
        <w:rPr>
          <w:rFonts w:ascii="Arial" w:eastAsia="Arial Unicode MS" w:hAnsi="Arial" w:cs="Arial Unicode MS"/>
          <w:sz w:val="24"/>
          <w:szCs w:val="24"/>
          <w:lang w:val="it-IT"/>
        </w:rPr>
        <w:t>con personal m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>í</w:t>
      </w:r>
      <w:r w:rsidRPr="00695344">
        <w:rPr>
          <w:rFonts w:ascii="Arial" w:eastAsia="Arial Unicode MS" w:hAnsi="Arial" w:cs="Arial Unicode MS"/>
          <w:sz w:val="24"/>
          <w:szCs w:val="24"/>
          <w:lang w:val="it-IT"/>
        </w:rPr>
        <w:t>nimo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 xml:space="preserve"> y bajo los siguientes lineamientos funcionales y objetivos, desde el 13.04.20 y hasta el </w:t>
      </w:r>
      <w:r w:rsidRPr="00695344">
        <w:rPr>
          <w:rFonts w:ascii="Arial" w:eastAsia="Arial Unicode MS" w:hAnsi="Arial" w:cs="Arial Unicode MS"/>
          <w:sz w:val="24"/>
          <w:szCs w:val="24"/>
          <w:highlight w:val="yellow"/>
          <w:lang w:val="es-ES_tradnl"/>
        </w:rPr>
        <w:t>20.04.20</w:t>
      </w:r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 xml:space="preserve"> inclusive a las 24 </w:t>
      </w:r>
      <w:proofErr w:type="spellStart"/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>hs</w:t>
      </w:r>
      <w:proofErr w:type="spellEnd"/>
      <w:r w:rsidRPr="00695344">
        <w:rPr>
          <w:rFonts w:ascii="Arial" w:eastAsia="Arial Unicode MS" w:hAnsi="Arial" w:cs="Arial Unicode MS"/>
          <w:sz w:val="24"/>
          <w:szCs w:val="24"/>
          <w:lang w:val="es-ES_tradnl"/>
        </w:rPr>
        <w:t xml:space="preserve">., y de acuerdo a las pautas contenidas en el PLAN OPERATIVO que como ANEXO I forma parte del presente. Con este enfoque operativo: 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DISPONER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la suspensión de todos plazos procesales y de los cursos de perención hasta el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highlight w:val="yellow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20.04.20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inclusive, sin perjuicio de la validez de los actos que se dicten.-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NOTIFICAR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por SNE o mediante la modalidad de notificación que el organismo venga utilizando, privilegiando las vías digitales -todo ello sin perjuicio de la </w:t>
      </w:r>
      <w:proofErr w:type="spellStart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suspensió</w:t>
      </w:r>
      <w:proofErr w:type="spellEnd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nl-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n de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plazos-, el despacho diario que se provea, las sentencias que pudieron elaborarse durante el receso judicial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it-IT" w:eastAsia="es-AR"/>
          <w14:textOutline w14:w="0" w14:cap="flat" w14:cmpd="sng" w14:algn="ctr">
            <w14:noFill/>
            <w14:prstDash w14:val="solid"/>
            <w14:bevel/>
          </w14:textOutline>
        </w:rPr>
        <w:t>extraordinari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o y las que se dictaren durante el período de marras, quedando el </w:t>
      </w:r>
      <w:proofErr w:type="spellStart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có</w:t>
      </w:r>
      <w:proofErr w:type="spellEnd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it-IT" w:eastAsia="es-AR"/>
          <w14:textOutline w14:w="0" w14:cap="flat" w14:cmpd="sng" w14:algn="ctr">
            <w14:noFill/>
            <w14:prstDash w14:val="solid"/>
            <w14:bevel/>
          </w14:textOutline>
        </w:rPr>
        <w:t>mputo de</w:t>
      </w: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plazos sujeto a la rehabilitación de los mismos</w:t>
      </w: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.-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EXCLUIR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de la medida dispuesta en el apartado precedente, a la tramitación de Amparos y Procedimientos Constitucionales, y los trámites urgentes que fueron definidos como tales en el Acuerdo Especial de declaración de receso sanitario y su prórroga, de fecha 15.03.20 y 30.03.20, respectivamente.-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APROBAR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la propuesta de funcionamiento elevada por la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C</w:t>
      </w:r>
      <w:proofErr w:type="spellStart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ámara</w:t>
      </w:r>
      <w:proofErr w:type="spellEnd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Casació</w:t>
      </w:r>
      <w:proofErr w:type="spellEnd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n Penal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con las adecuaciones vertidas en los considerandos, en tanto se adecua íntegramente al Plan Operativo.-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APROBAR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la propuesta elevada por el Centro de Medios Alternativos de Resolución de Conflictos dependiente del Superior Tribunal de Justicia, en tanto se adecua al Plan Operativo.-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IMPLEMENTAR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it-IT" w:eastAsia="es-AR"/>
          <w14:textOutline w14:w="0" w14:cap="flat" w14:cmpd="sng" w14:algn="ctr">
            <w14:noFill/>
            <w14:prstDash w14:val="solid"/>
            <w14:bevel/>
          </w14:textOutline>
        </w:rPr>
        <w:t>con car</w:t>
      </w:r>
      <w:proofErr w:type="spellStart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ácter</w:t>
      </w:r>
      <w:proofErr w:type="spellEnd"/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obligatorio para todos los fueros e instancias la orden de pago electrónica aprobada por Acuerdo General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debiendo adoptarse en este período de transición todas las medidas necesarias para su plena operatividad a partir del día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highlight w:val="yellow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21.04.20.-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DISPONER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que durante todo el tiempo que dure la emergencia sanitaria las actividades de la O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it-IT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ficina de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Ceremonial que no admitan suspensión, se llevarán a cabo sin público, sujetas a la organización que proponga la Oficina de Ceremonial.- 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APROBAR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los siguientes anexos: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ANEXO I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it-IT" w:eastAsia="es-AR"/>
          <w14:textOutline w14:w="0" w14:cap="flat" w14:cmpd="sng" w14:algn="ctr">
            <w14:noFill/>
            <w14:prstDash w14:val="solid"/>
            <w14:bevel/>
          </w14:textOutline>
        </w:rPr>
        <w:t>Plan Operativo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; ANEXO II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“Medidas Sanitarias y Protocolo de Higiene”; y disponer la elaboración de un Protocolo o Capacitación para manejo de oficina judicial mediante el uso de herramientas tecnológicas, el que estará a cargo de la Dirección de Gestión Humana.- 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INSTRUIR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a la Oficina de Informática Jurídica dependiente de este Superior Tribunal de Justicia que deberá llevar adelante todas las medidas y desarrollos que garanticen el uso de herramientas tecnológicas y teletrabajo, mediante la implementación de turnos rotativos con su personal, así como el desarrollo de la capacitación necesaria.-</w:t>
      </w:r>
    </w:p>
    <w:p w:rsidR="00695344" w:rsidRPr="00695344" w:rsidRDefault="00695344" w:rsidP="00695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INSTRUIR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a la Oficina de Compras a que dé prioridad a la adquisición de insumos destinados a bioseguridad, así como a todos los requerimientos que plantee el Área de Planeamiento e Infraestructura Edilicio Judicial para la adecuación de los espacios.-</w:t>
      </w:r>
    </w:p>
    <w:p w:rsidR="00695344" w:rsidRPr="00695344" w:rsidRDefault="00695344" w:rsidP="0098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pt-PT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69534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PRORROGAR 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la suspensión de capacitaciones presenciales y concursos.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En tal sentido,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dispuso </w:t>
      </w: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notificar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, publicar en la Página Web y en el B</w:t>
      </w: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oletín Oficial</w:t>
      </w:r>
      <w:r w:rsidRPr="0069534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t>-</w:t>
      </w:r>
    </w:p>
    <w:p w:rsidR="00F52F6A" w:rsidRDefault="00695344" w:rsidP="00695344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SECRETARIA, 09 de abril de 2020.-</w:t>
      </w:r>
    </w:p>
    <w:p w:rsidR="00695344" w:rsidRDefault="00695344" w:rsidP="00695344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5344" w:rsidRDefault="00695344" w:rsidP="00695344">
      <w:pPr>
        <w:ind w:left="2124" w:firstLine="708"/>
        <w:rPr>
          <w:rFonts w:ascii="Arial" w:hAnsi="Arial" w:cs="Arial"/>
          <w:sz w:val="24"/>
          <w:szCs w:val="24"/>
        </w:rPr>
      </w:pPr>
    </w:p>
    <w:p w:rsidR="00695344" w:rsidRPr="00695344" w:rsidRDefault="00695344" w:rsidP="00695344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7B70EFD0" wp14:editId="36ACF39A">
            <wp:extent cx="2419350" cy="17526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344" w:rsidRPr="00695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7977"/>
    <w:multiLevelType w:val="hybridMultilevel"/>
    <w:tmpl w:val="98928552"/>
    <w:numStyleLink w:val="Estiloimportado1"/>
  </w:abstractNum>
  <w:abstractNum w:abstractNumId="1">
    <w:nsid w:val="68C06288"/>
    <w:multiLevelType w:val="hybridMultilevel"/>
    <w:tmpl w:val="98928552"/>
    <w:styleLink w:val="Estiloimportado1"/>
    <w:lvl w:ilvl="0" w:tplc="0E8A097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6B1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EAD05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6F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EF3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8CC0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A36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24A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E8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4"/>
    <w:rsid w:val="00695344"/>
    <w:rsid w:val="00F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6CC1-B768-450E-B0DF-BA675FE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695344"/>
  </w:style>
  <w:style w:type="paragraph" w:customStyle="1" w:styleId="Cuerpo">
    <w:name w:val="Cuerpo"/>
    <w:rsid w:val="006953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6953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2020-04-09T15:23:00Z</dcterms:created>
  <dcterms:modified xsi:type="dcterms:W3CDTF">2020-04-09T15:33:00Z</dcterms:modified>
</cp:coreProperties>
</file>